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761A89">
      <w:pPr>
        <w:pStyle w:val="ConsPlusNormal"/>
      </w:pPr>
      <w:bookmarkStart w:id="0" w:name="_GoBack"/>
      <w:bookmarkEnd w:id="0"/>
      <w:r>
        <w:rPr>
          <w:b/>
          <w:bCs/>
        </w:rPr>
        <w:t>Источник публикации</w:t>
      </w:r>
    </w:p>
    <w:p w:rsidR="00000000" w:rsidRDefault="00761A89">
      <w:pPr>
        <w:pStyle w:val="ConsPlusNormal"/>
        <w:jc w:val="both"/>
      </w:pPr>
      <w:r>
        <w:t>Документ опубликован не был</w:t>
      </w:r>
    </w:p>
    <w:p w:rsidR="00000000" w:rsidRDefault="00761A89">
      <w:pPr>
        <w:pStyle w:val="ConsPlusNormal"/>
        <w:spacing w:before="240"/>
      </w:pPr>
      <w:r>
        <w:rPr>
          <w:b/>
          <w:bCs/>
        </w:rPr>
        <w:t>Примечание к документу</w:t>
      </w:r>
    </w:p>
    <w:p w:rsidR="00000000" w:rsidRDefault="00761A89">
      <w:pPr>
        <w:pStyle w:val="ConsPlusNormal"/>
        <w:jc w:val="both"/>
      </w:pPr>
      <w:r>
        <w:t>Данное решение оставлено без изменения (Апелляционное определение от 04.09.2019 N АКПИ19-499 ВС РФ).</w:t>
      </w:r>
    </w:p>
    <w:p w:rsidR="00000000" w:rsidRDefault="00761A89">
      <w:pPr>
        <w:pStyle w:val="ConsPlusNormal"/>
        <w:spacing w:before="240"/>
      </w:pPr>
      <w:r>
        <w:rPr>
          <w:b/>
          <w:bCs/>
        </w:rPr>
        <w:t>Название документа</w:t>
      </w:r>
    </w:p>
    <w:p w:rsidR="00000000" w:rsidRDefault="00761A89">
      <w:pPr>
        <w:pStyle w:val="ConsPlusNormal"/>
        <w:jc w:val="both"/>
      </w:pPr>
      <w:r>
        <w:t>Решение Судебной коллегии по административным делам Верховного Суда РФ от 04.09.2019 N АКПИ19-499</w:t>
      </w:r>
    </w:p>
    <w:p w:rsidR="00000000" w:rsidRDefault="00761A89">
      <w:pPr>
        <w:pStyle w:val="ConsPlusNormal"/>
        <w:jc w:val="both"/>
      </w:pPr>
      <w:r>
        <w:t xml:space="preserve">&lt;Об отказе в удовлетворении заявления </w:t>
      </w:r>
      <w:r>
        <w:t>о признании частично недействующим абзацев первого - третьего пункта 8(5) 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</w:t>
      </w:r>
      <w:r>
        <w:t xml:space="preserve"> хозяйства, принадлежащих сетевым организациям и иным лицам, к электрическим сетям, утв. Постановлением Правительства РФ от 27.12.2004 N 861&gt;</w:t>
      </w:r>
    </w:p>
    <w:p w:rsidR="00000000" w:rsidRDefault="00761A89">
      <w:pPr>
        <w:pStyle w:val="ConsPlusNormal"/>
        <w:jc w:val="both"/>
        <w:sectPr w:rsidR="00000000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1440" w:right="566" w:bottom="1440" w:left="1133" w:header="0" w:footer="0" w:gutter="0"/>
          <w:cols w:space="720"/>
          <w:noEndnote/>
          <w:titlePg/>
        </w:sectPr>
      </w:pPr>
    </w:p>
    <w:p w:rsidR="00000000" w:rsidRDefault="00761A89">
      <w:pPr>
        <w:pStyle w:val="ConsPlusNormal"/>
        <w:jc w:val="both"/>
        <w:outlineLvl w:val="0"/>
      </w:pPr>
    </w:p>
    <w:p w:rsidR="00000000" w:rsidRDefault="00761A89">
      <w:pPr>
        <w:pStyle w:val="ConsPlusTitle"/>
        <w:jc w:val="center"/>
      </w:pPr>
      <w:r>
        <w:t>ВЕРХОВНЫЙ СУД РОССИЙСКОЙ ФЕДЕРАЦИИ</w:t>
      </w:r>
    </w:p>
    <w:p w:rsidR="00000000" w:rsidRDefault="00761A89">
      <w:pPr>
        <w:pStyle w:val="ConsPlusTitle"/>
        <w:jc w:val="center"/>
      </w:pPr>
    </w:p>
    <w:p w:rsidR="00000000" w:rsidRDefault="00761A89">
      <w:pPr>
        <w:pStyle w:val="ConsPlusTitle"/>
        <w:jc w:val="center"/>
      </w:pPr>
      <w:r>
        <w:t>Именем Российской Федерации</w:t>
      </w:r>
    </w:p>
    <w:p w:rsidR="00000000" w:rsidRDefault="00761A89">
      <w:pPr>
        <w:pStyle w:val="ConsPlusTitle"/>
        <w:jc w:val="center"/>
      </w:pPr>
    </w:p>
    <w:p w:rsidR="00000000" w:rsidRDefault="00761A89">
      <w:pPr>
        <w:pStyle w:val="ConsPlusTitle"/>
        <w:jc w:val="center"/>
      </w:pPr>
      <w:r>
        <w:t>РЕШЕНИЕ</w:t>
      </w:r>
    </w:p>
    <w:p w:rsidR="00000000" w:rsidRDefault="00761A89">
      <w:pPr>
        <w:pStyle w:val="ConsPlusTitle"/>
        <w:jc w:val="center"/>
      </w:pPr>
      <w:r>
        <w:t>от 4 сентября 2019 г. N АКПИ19-499</w:t>
      </w:r>
    </w:p>
    <w:p w:rsidR="00000000" w:rsidRDefault="00761A89">
      <w:pPr>
        <w:pStyle w:val="ConsPlusNormal"/>
        <w:jc w:val="center"/>
      </w:pPr>
    </w:p>
    <w:p w:rsidR="00000000" w:rsidRDefault="00761A89">
      <w:pPr>
        <w:pStyle w:val="ConsPlusNormal"/>
        <w:ind w:firstLine="540"/>
        <w:jc w:val="both"/>
      </w:pPr>
      <w:r>
        <w:t>Верховный Суд Российской Федерации в составе: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председательствующего судьи Верховного Суда Российской Федерации Романенкова Н.С.,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судей Верховного Суда Российской Федерации Иваненко Ю.Г., Назаровой А.М.,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при секретаре Б.,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с участием прокурора Масаловой Л.Ф.</w:t>
      </w:r>
      <w:r>
        <w:t>,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рассмотрев в открытом судебном заседании дело по административному исковому заявлению Г. о признании частично недействующими абзацев первого - третьего пункта 8(5) Правил технологического присоединения энергопринимающих устройств потребителей электрическ</w:t>
      </w:r>
      <w:r>
        <w:t>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сетям, утвержденных постановлением Правительства Российской Федерации от 27 декабря 200</w:t>
      </w:r>
      <w:r>
        <w:t>4 г. N 861 (в редакции постановления Правительства Российской Федерации от 21 декабря 2018 г. N 1622),</w:t>
      </w:r>
    </w:p>
    <w:p w:rsidR="00000000" w:rsidRDefault="00761A89">
      <w:pPr>
        <w:pStyle w:val="ConsPlusNormal"/>
        <w:jc w:val="center"/>
      </w:pPr>
    </w:p>
    <w:p w:rsidR="00000000" w:rsidRDefault="00761A89">
      <w:pPr>
        <w:pStyle w:val="ConsPlusNormal"/>
        <w:jc w:val="center"/>
      </w:pPr>
      <w:r>
        <w:t>установил:</w:t>
      </w:r>
    </w:p>
    <w:p w:rsidR="00000000" w:rsidRDefault="00761A89">
      <w:pPr>
        <w:pStyle w:val="ConsPlusNormal"/>
        <w:jc w:val="center"/>
      </w:pPr>
    </w:p>
    <w:p w:rsidR="00000000" w:rsidRDefault="00761A89">
      <w:pPr>
        <w:pStyle w:val="ConsPlusNormal"/>
        <w:ind w:firstLine="540"/>
        <w:jc w:val="both"/>
      </w:pPr>
      <w:r>
        <w:t>постановлением Правительства Российской Федерации от 27 декабря 2004 г. N 861 утверждены Правила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</w:t>
      </w:r>
      <w:r>
        <w:t xml:space="preserve"> электросетевого хозяйства, принадлежащих сетевым организациям и иным лицам, к электрическим сетям (далее - Правила), действующие в редакции постановления Правительства Российской Федерации от 29 мая 2019 г. N 682.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Гражданка Г. обратилась в Верховный Суд Р</w:t>
      </w:r>
      <w:r>
        <w:t>оссийской Федерации с административным исковым заявлением о признании частично недействующими абзацев первого - третьего пункта 8(5) Правил (в редакции постановления Правительства Российской Федерации от 21 декабря 2018 г. N 1622), ссылаясь на то, что оспа</w:t>
      </w:r>
      <w:r>
        <w:t>риваемые положения нормативного правового акта противоречат пункту 2 статьи 1 Гражданского кодекса Российской Федерации, пункту 1 статьи 26 Федерального закона от 26 марта 2003 г. N 35-ФЗ "Об электроэнергетике", статье 7 Федерального закона от 29 июля 2017</w:t>
      </w:r>
      <w:r>
        <w:t xml:space="preserve"> г.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пунктам 3, 13 Правил недискриминационного доступа к услугам по передаче электрической энерги</w:t>
      </w:r>
      <w:r>
        <w:t>и и оказания этих услуг, утвержденных постановлением Правительства Российской Федерации от 27 декабря 2004 г. N 861, содержат правовую неопределенность, нарушают конституционные права граждан, принцип добровольности, диспозитивности и равенства субъектов д</w:t>
      </w:r>
      <w:r>
        <w:t xml:space="preserve">оговора, поскольку ограничивают право гражданина самостоятельно обращаться с заявкой на осуществление </w:t>
      </w:r>
      <w:r>
        <w:lastRenderedPageBreak/>
        <w:t>технологического присоединения энергопринимающих устройств, не допускают гражданина к заключению публичного договора и определению его существенных услови</w:t>
      </w:r>
      <w:r>
        <w:t>й, если принадлежащий гражданину земельный участок находится в границах садоводческого товарищества.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Как указывает административный истец, она обратилась в сетевую организацию за заключением публичного договора об осуществлении технологического присоединен</w:t>
      </w:r>
      <w:r>
        <w:t>ия к электрическим сетям принадлежащего ей энергопринимающего устройства, но получила отказ сетевой организации в заключении договора технологического присоединения к электрическим сетям сетевой организации, мотивированный пунктом 8(5) Правил. Она желает с</w:t>
      </w:r>
      <w:r>
        <w:t>амостоятельно осуществить технологическое присоединение ее энергопринимающего устройства, а также составить с сетевой организацией документы о технологическом присоединении энергопринимающего устройства, расположенного на принадлежащем ей земельном участке</w:t>
      </w:r>
      <w:r>
        <w:t>, чтобы зафиксировать ответственность сетевой организации за состояние и обслуживание объектов электросетевого хозяйства. Однако обязательность обращения с заявкой на технологическое присоединение к председателю товарищества (некоммерческого объединения) н</w:t>
      </w:r>
      <w:r>
        <w:t>алагает на последнего обязанность заключить впоследствии публичный договор технологического присоединения, в котором товарищество не заинтересовано, но в силу абзаца второго пункта 8(5) Правил не может отказать садоводу в подаче заявки на технологическое п</w:t>
      </w:r>
      <w:r>
        <w:t>рисоединение энергопринимающих устройств, расположенных на земельном участке, не принадлежащем товариществу (принадлежащим садоводу, ведущему садоводство в границах товарищества). Обязательность подачи заявки товариществом несоразмерно ограничивает права с</w:t>
      </w:r>
      <w:r>
        <w:t>адовода, который в силу того, что его участок расположен в границах товарищества, лишен права обратиться с заявкой самостоятельно, а, следовательно, самостоятельно заключить договор и определить его существенные условия, попадая в зависимость от товарищест</w:t>
      </w:r>
      <w:r>
        <w:t>ва.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Административный истец Г. извещена о времени и месте судебного заседания, в суд не явилась, просила рассмотреть дело в ее отсутствие.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Правительство Российской Федерации, привлеченное к участию в деле в качестве административного ответчика, поручило пре</w:t>
      </w:r>
      <w:r>
        <w:t>дставлять свои интересы в Верховном Суде Российской Федерации Министерству энергетики Российской Федерации (поручение от 4 июля 2019 г. N КЧ-П9-5613).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Представители Правительства Российской Федерации М., К. возражали против удовлетворения заявленных требов</w:t>
      </w:r>
      <w:r>
        <w:t>аний и пояснили суду, что оспариваемые положения нормативного правового акта изданы в пределах полномочий Правительства Российской Федерации, соответствуют действующему законодательству и не нарушают прав административного истца.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Выслушав сообщение судьи-д</w:t>
      </w:r>
      <w:r>
        <w:t>окладчика Романенкова Н.С., объяснения представителей административного ответчика Правительства Российской Федерации М., К., исследовав материалы дела, заслушав заключение прокурора Генеральной прокуратуры Российской Федерации Масаловой Л.Ф., полагавшей, ч</w:t>
      </w:r>
      <w:r>
        <w:t>то административный иск не подлежит удовлетворению, и судебные прения, Верховный Суд Российской Федерации не находит оснований для удовлетворения заявленных требований.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 xml:space="preserve">Правительство Российской Федерации на основании и во исполнение Конституции Российской </w:t>
      </w:r>
      <w:r>
        <w:t xml:space="preserve">Федерации, федеральных конституционных законов, федеральных законов, </w:t>
      </w:r>
      <w:r>
        <w:lastRenderedPageBreak/>
        <w:t>нормативных указов Президента Российской Федерации издает постановления и распоряжения, обеспечивает их исполнение. Акты, имеющие нормативный характер, издаются в форме постановлений Прав</w:t>
      </w:r>
      <w:r>
        <w:t>ительства Российской Федерации (статья 23 Федерального конституционного закона от 17 декабря 1997 г. N 2-ФКЗ "О Правительстве Российской Федерации").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Технологическое присоединение к объектам электросетевого хозяйства энергопринимающих устройств потребителе</w:t>
      </w:r>
      <w:r>
        <w:t>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согласно пункту 1 статьи 26 Федерального закона "Об электроэнергетике" осуществляется в по</w:t>
      </w:r>
      <w:r>
        <w:t>рядке, установленном Правительством Российской Федерации, и носит однократный характер.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Во исполнение требований федерального законодателя постановлением Правительства Российской Федерации от 27 декабря 2004 г. N 861 утверждены Правила, которые действуют в</w:t>
      </w:r>
      <w:r>
        <w:t xml:space="preserve"> редакции постановления Правительства Российской Федерации от 29 мая 2019 г. N 682).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 xml:space="preserve">Первоначально нормативный правовой акт опубликован в Собрании законодательства Российской Федерации 27 декабря 2004 г., N 52 (часть 2), "Российской газете" 19 января 2005 </w:t>
      </w:r>
      <w:r>
        <w:t>г.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Правила дополнены пунктом 8(5) постановлением Правительства Российской Федерации от 13 марта 2015 г. N 219, которое размещено на "Официальном интернет-портале правовой информации" (http://www.pravo.gov.ru) 17 марта 2015 г., опубликовано в Собрании закон</w:t>
      </w:r>
      <w:r>
        <w:t>одательства Российской Федерации 23 марта 2015 г., N 12.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Пункт 8(5) Правил изложен в новой редакции постановлением Правительства Российской Федерации от 21 декабря 2018 г. N 1622, размещенным на "Официальном интернет-портале правовой информации" (http://ww</w:t>
      </w:r>
      <w:r>
        <w:t>w.pravo.gov.ru) 26 декабря 2018 г., опубликованным в Собрании законодательства Российской Федерации 31 декабря 2018 г., N 53 (часть II).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Правила определяют порядок и особенности технологического присоединения энергопринимающих устройств потребителей электр</w:t>
      </w:r>
      <w:r>
        <w:t>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сетям, регламентируют процедуру присоединения энергопринимающих устройств к электр</w:t>
      </w:r>
      <w:r>
        <w:t>ическим сетям сетевой организации, определяют существенные условия договора об осуществлении технологического присоединения к электрическим сетям, устанавливают требования к выдаче технических условий, в том числе индивидуальных, для присоединения к электр</w:t>
      </w:r>
      <w:r>
        <w:t>ическим сетям, порядок проведения проверки выполнения заявителем и сетевой организацией технических условий, критерии наличия (отсутствия) технической возможности технологического присоединения и особенности технологического присоединения энергопринимающих</w:t>
      </w:r>
      <w:r>
        <w:t xml:space="preserve"> устройств потребителей посредством перераспределения максимальной мощности между юридическими лицами и индивидуальными предпринимателями, а также особенности отказа потребителей электрической энергии от максимальной мощности в пользу сетевой организации (</w:t>
      </w:r>
      <w:r>
        <w:t>пункт 1 Правил).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Оспариваемые положения нормативного правового акта устанавливают порядок технологического присоединения энергопринимающих устройств, относящихся к имуществу общего пользования, расположенному в границах территории садоводства или огороднич</w:t>
      </w:r>
      <w:r>
        <w:t>ества, и соответствуют гражданскому законодательству, законодательству об электроэнергетике.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lastRenderedPageBreak/>
        <w:t>Согласно абзацу первому пункта 8(5) Правил в случае технологического присоединения энергопринимающих устройств, относящихся к имуществу общего пользования, располо</w:t>
      </w:r>
      <w:r>
        <w:t>женному в границах территории садоводства или огородничества, а также энергопринимающих устройств, принадлежащих гражданам, осуществляющим ведение садоводства или огородничества на земельных участках, расположенных в границах территории садоводства или ого</w:t>
      </w:r>
      <w:r>
        <w:t>родничества, или иным правообладателям объектов недвижимости, расположенных в границах территории садоводства или огородничества, заявка на технологическое присоединение этих энергопринимающих устройств подается в сетевую организацию садоводческим или огор</w:t>
      </w:r>
      <w:r>
        <w:t>одническим некоммерческим товариществом (при наличии).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Федеральный законодатель предусмотрел институт публичного договора. Согласно пункту 4 статьи 426 Гражданского кодекса Российской Федерации в случаях, предусмотренных законом, Правительство Российской Ф</w:t>
      </w:r>
      <w:r>
        <w:t>едерации может издавать правила, обязательные для сторон при заключении и исполнении публичных договоров (типовые договоры, положения и т.п.).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Федеральный закон "Об электроэнергетике" предусматривает, что технологическое присоединение осуществляется на осн</w:t>
      </w:r>
      <w:r>
        <w:t>овании договора об осуществлении технологического присоединения к объектам электросетевого хозяйства, заключаемого между сетевой организацией и обратившимся к ней лицом. Указанный договор является публичным (абзац третий пункта 1 статьи 26).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 xml:space="preserve">Установленная </w:t>
      </w:r>
      <w:r>
        <w:t>оспариваемыми положениями нормативного правового акта процедура подачи заявки на технологическое присоединение к электрическим сетям некоммерческим объединением не может рассматриваться как ограничение свободы договора и ограничение прав потребителя, имеющ</w:t>
      </w:r>
      <w:r>
        <w:t>его энергопринимающие устройства, на их использование.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Федеральный закон "О ведении гражданами садоводства и огородничества для собственных нужд и о внесении изменений в отдельные законодательные акты Российской Федерации" определяет особенности гражданско</w:t>
      </w:r>
      <w:r>
        <w:t>-правового положения некоммерческих организаций, создаваемых гражданами для ведения садоводства и огородничества в соответствии с Гражданским кодексом Российской Федерации.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Так, согласно подпункту 5 пункта 7 статьи 18 данного Федерального закона к полномоч</w:t>
      </w:r>
      <w:r>
        <w:t>иям правления товарищества относится принятие решений о заключении договоров с организациями, осуществляющими снабжение тепловой и электрической энергией, водой, газом, водоотведение, благоустройство и охрану территории садоводства или огородничества, обес</w:t>
      </w:r>
      <w:r>
        <w:t>печение пожарной безопасности и иную деятельность, направленную на достижение целей товарищества. Исходя из этого товарищество выступает в качестве единого субъекта в вопросах взаимодействия с организациями, осуществляющими снабжение электрической энергией</w:t>
      </w:r>
      <w:r>
        <w:t xml:space="preserve"> как членов товарищества, так и лиц, осуществляющих ведение садоводства или огородничества на садовых земельных участках или огородных земельных участках, расположенных в границах территории садоводства или огородничества, без участия в товариществе.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Довод</w:t>
      </w:r>
      <w:r>
        <w:t>ы административного истца об ограничении оспариваемыми положениями нормативного правового акта ее прав на технологическое присоединение принадлежащего ей энергопринимающего устройства являются несостоятельными, поскольку в силу абзаца второго пункта 8(5) П</w:t>
      </w:r>
      <w:r>
        <w:t xml:space="preserve">равил садоводческое или огородническое некоммерческое товарищество не вправе отказаться от подачи в сетевую организацию заявки на технологическое присоединение </w:t>
      </w:r>
      <w:r>
        <w:lastRenderedPageBreak/>
        <w:t>принадлежащих указанным лицам энергопринимающих устройств, а также препятствовать сетевой органи</w:t>
      </w:r>
      <w:r>
        <w:t>зации в осуществлении технологического присоединения таких энергопринимающих устройств и требовать за это плату.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Положения абзаца третьего пункта 8(5) Правил не могут нарушать прав административного истца, поскольку данная норма регулирует отношения по вед</w:t>
      </w:r>
      <w:r>
        <w:t xml:space="preserve">ению садоводства или огородничества гражданами на земельных участках, на которых товарищества не созданы, и заявка на технологическое присоединение энергопринимающих устройств, принадлежащих гражданам, осуществляющим ведение садоводства или огородничества </w:t>
      </w:r>
      <w:r>
        <w:t>на земельных участках, расположенных в границах территории садоводства или огородничества, подается в сетевую организацию в соответствии с предусмотренным Правилами общим порядком технологического присоединения с учетом особенностей, установленных в зависи</w:t>
      </w:r>
      <w:r>
        <w:t>мости от мощности присоединяемых устройств.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Доводы административного истца о противоречии пункта 8(5) Правил правовым нормам, содержащимся во внутренней структуре постановления Правительства Российской Федерации от 27 декабря 2004 г. N 861, а именно положе</w:t>
      </w:r>
      <w:r>
        <w:t>ниям Правил недискриминационного доступа к услугам по передаче электрической энергии и оказания этих услуг, не могут служить основанием для удовлетворения заявленных требований, поскольку суд при рассмотрении административного дела об оспаривании нормативн</w:t>
      </w:r>
      <w:r>
        <w:t>ого правового акта проверяет его на предмет соответствия иному нормативному правовому акту, имеющему большую юридическую силу.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Согласно разъяснению, данному в пункте 35 постановления Пленума Верховного Суда Российской Федерации от 25 декабря 2018 г. N 50 "</w:t>
      </w:r>
      <w:r>
        <w:t>О практике рассмотрения судами дел об оспаривании нормативных правовых актов и актов, содержащих разъяснения законодательства и обладающих нормативными свойствами", проверяя содержание оспариваемого акта или его части, необходимо также выяснять, является л</w:t>
      </w:r>
      <w:r>
        <w:t>и оно определенным. Если оспариваемый акт или его часть вызывают неоднозначное толкование, оспариваемый акт в такой редакции признается не действующим полностью или в части с указанием мотивов принятого решения. Абзацы первый - третий пункта 8(5) Правил по</w:t>
      </w:r>
      <w:r>
        <w:t xml:space="preserve"> своему содержанию являются определенными.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Сетевые организации владеют на праве собственности или на ином законном основании объектами электросетевого хозяйства, осуществляют в установленном порядке технологическое присоединение энергопринимающих устройств юридических и физических лиц к электрическ</w:t>
      </w:r>
      <w:r>
        <w:t>им сетям.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 xml:space="preserve">Осуществление технологического присоединения без учета имущества общего пользования некоммерческого объединения может привести к значительному увеличению количества объектов электросетевого хозяйства сетевых организаций и увеличению охранных зон </w:t>
      </w:r>
      <w:r>
        <w:t>объектов электросетевого хозяйства, ограничит использование имущества, расположенного в пределах охранных зон. Сетевой организации необходимо для технологического присоединения, в частности, осуществить мероприятия по разработке, согласованию с системным о</w:t>
      </w:r>
      <w:r>
        <w:t>ператором технических условий, обеспечению готовности объектов электросетевого хозяйства, включая проектирование, строительство, реконструкцию, к присоединению энергопринимающих устройств электроэнергетики.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Правовое регулирование осуществлено Правительство</w:t>
      </w:r>
      <w:r>
        <w:t>м Российской Федерации в пределах предоставленных ему полномочий, исходя из особенностей договора об осуществлении технологического присоединения.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lastRenderedPageBreak/>
        <w:t>В силу пункта 2 части 2 статьи 215 КАС РФ по результатам рассмотрения административного дела об оспаривании н</w:t>
      </w:r>
      <w:r>
        <w:t>ормативного правового акта судом принимается решение об отказе в удовлетворении заявленных требований, если оспариваемый полностью или в части нормативный правовой акт признается соответствующим иному нормативному правовому акту, имеющему большую юридическ</w:t>
      </w:r>
      <w:r>
        <w:t>ую силу.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>На основании изложенного и руководствуясь статьями 175, 176, 180, 215 КАС РФ, Верховный Суд Российской Федерации</w:t>
      </w:r>
    </w:p>
    <w:p w:rsidR="00000000" w:rsidRDefault="00761A89">
      <w:pPr>
        <w:pStyle w:val="ConsPlusNormal"/>
        <w:jc w:val="center"/>
      </w:pPr>
    </w:p>
    <w:p w:rsidR="00000000" w:rsidRDefault="00761A89">
      <w:pPr>
        <w:pStyle w:val="ConsPlusNormal"/>
        <w:jc w:val="center"/>
      </w:pPr>
      <w:r>
        <w:t>решил:</w:t>
      </w:r>
    </w:p>
    <w:p w:rsidR="00000000" w:rsidRDefault="00761A89">
      <w:pPr>
        <w:pStyle w:val="ConsPlusNormal"/>
        <w:jc w:val="center"/>
      </w:pPr>
    </w:p>
    <w:p w:rsidR="00000000" w:rsidRDefault="00761A89">
      <w:pPr>
        <w:pStyle w:val="ConsPlusNormal"/>
        <w:ind w:firstLine="540"/>
        <w:jc w:val="both"/>
      </w:pPr>
      <w:r>
        <w:t>в удовлетворении административного искового заявления Г. о признании частично недействующими абзацев первого - третьего пункт</w:t>
      </w:r>
      <w:r>
        <w:t>а 8(5) 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</w:t>
      </w:r>
      <w:r>
        <w:t>трическим сетям, утвержденных постановлением Правительства Российской Федерации от 27 декабря 2004 г. N 861 (в редакции постановления Правительства Российской Федерации от 21 декабря 2018 г. N 1622), отказать.</w:t>
      </w:r>
    </w:p>
    <w:p w:rsidR="00000000" w:rsidRDefault="00761A89">
      <w:pPr>
        <w:pStyle w:val="ConsPlusNormal"/>
        <w:spacing w:before="240"/>
        <w:ind w:firstLine="540"/>
        <w:jc w:val="both"/>
      </w:pPr>
      <w:r>
        <w:t xml:space="preserve">Решение может быть обжаловано в Апелляционную </w:t>
      </w:r>
      <w:r>
        <w:t>коллегию Верховного Суда Российской Федерации в течение одного месяца со дня принятия решения суда в окончательной форме.</w:t>
      </w:r>
    </w:p>
    <w:p w:rsidR="00000000" w:rsidRDefault="00761A89">
      <w:pPr>
        <w:pStyle w:val="ConsPlusNormal"/>
        <w:ind w:firstLine="540"/>
        <w:jc w:val="both"/>
      </w:pPr>
    </w:p>
    <w:p w:rsidR="00000000" w:rsidRDefault="00761A89">
      <w:pPr>
        <w:pStyle w:val="ConsPlusNormal"/>
        <w:jc w:val="right"/>
      </w:pPr>
      <w:r>
        <w:t>Председательствующий судья</w:t>
      </w:r>
    </w:p>
    <w:p w:rsidR="00000000" w:rsidRDefault="00761A89">
      <w:pPr>
        <w:pStyle w:val="ConsPlusNormal"/>
        <w:jc w:val="right"/>
      </w:pPr>
      <w:r>
        <w:t>Верховного Суда</w:t>
      </w:r>
    </w:p>
    <w:p w:rsidR="00000000" w:rsidRDefault="00761A89">
      <w:pPr>
        <w:pStyle w:val="ConsPlusNormal"/>
        <w:jc w:val="right"/>
      </w:pPr>
      <w:r>
        <w:t>Российской Федерации</w:t>
      </w:r>
    </w:p>
    <w:p w:rsidR="00000000" w:rsidRDefault="00761A89">
      <w:pPr>
        <w:pStyle w:val="ConsPlusNormal"/>
        <w:jc w:val="right"/>
      </w:pPr>
      <w:r>
        <w:t>Н.С.РОМАНЕНКОВ</w:t>
      </w:r>
    </w:p>
    <w:p w:rsidR="00000000" w:rsidRDefault="00761A89">
      <w:pPr>
        <w:pStyle w:val="ConsPlusNormal"/>
        <w:jc w:val="right"/>
      </w:pPr>
    </w:p>
    <w:p w:rsidR="00000000" w:rsidRDefault="00761A89">
      <w:pPr>
        <w:pStyle w:val="ConsPlusNormal"/>
        <w:jc w:val="right"/>
      </w:pPr>
      <w:r>
        <w:t>Судьи Верховного Суда</w:t>
      </w:r>
    </w:p>
    <w:p w:rsidR="00000000" w:rsidRDefault="00761A89">
      <w:pPr>
        <w:pStyle w:val="ConsPlusNormal"/>
        <w:jc w:val="right"/>
      </w:pPr>
      <w:r>
        <w:t>Российской Федерации</w:t>
      </w:r>
    </w:p>
    <w:p w:rsidR="00000000" w:rsidRDefault="00761A89">
      <w:pPr>
        <w:pStyle w:val="ConsPlusNormal"/>
        <w:jc w:val="right"/>
      </w:pPr>
      <w:r>
        <w:t>Ю.Г.ИВАНЕН</w:t>
      </w:r>
      <w:r>
        <w:t>КО</w:t>
      </w:r>
    </w:p>
    <w:p w:rsidR="00000000" w:rsidRDefault="00761A89">
      <w:pPr>
        <w:pStyle w:val="ConsPlusNormal"/>
        <w:jc w:val="right"/>
      </w:pPr>
      <w:r>
        <w:t>А.М.НАЗАРОВА</w:t>
      </w:r>
    </w:p>
    <w:p w:rsidR="00000000" w:rsidRDefault="00761A89">
      <w:pPr>
        <w:pStyle w:val="ConsPlusNormal"/>
        <w:jc w:val="both"/>
      </w:pPr>
    </w:p>
    <w:p w:rsidR="00000000" w:rsidRDefault="00761A89">
      <w:pPr>
        <w:pStyle w:val="ConsPlusNormal"/>
        <w:jc w:val="both"/>
      </w:pPr>
    </w:p>
    <w:p w:rsidR="00761A89" w:rsidRDefault="00761A8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761A89">
      <w:headerReference w:type="default" r:id="rId11"/>
      <w:footerReference w:type="default" r:id="rId12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A89" w:rsidRDefault="00761A89">
      <w:pPr>
        <w:spacing w:after="0" w:line="240" w:lineRule="auto"/>
      </w:pPr>
      <w:r>
        <w:separator/>
      </w:r>
    </w:p>
  </w:endnote>
  <w:endnote w:type="continuationSeparator" w:id="0">
    <w:p w:rsidR="00761A89" w:rsidRDefault="00761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61A89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61A89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61A89">
          <w:pPr>
            <w:pStyle w:val="ConsPlusNormal"/>
            <w:jc w:val="center"/>
            <w:rPr>
              <w:b/>
              <w:bCs/>
              <w:sz w:val="20"/>
              <w:szCs w:val="20"/>
            </w:rPr>
          </w:pPr>
          <w:hyperlink r:id="rId1" w:history="1">
            <w:r>
              <w:rPr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61A89">
          <w:pPr>
            <w:pStyle w:val="ConsPlusNormal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Страница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\PAGE</w:instrTex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 xml:space="preserve"> из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\NUMPAGES</w:instrText>
          </w:r>
          <w:r>
            <w:rPr>
              <w:sz w:val="20"/>
              <w:szCs w:val="20"/>
            </w:rPr>
            <w:fldChar w:fldCharType="end"/>
          </w:r>
        </w:p>
      </w:tc>
    </w:tr>
  </w:tbl>
  <w:p w:rsidR="00000000" w:rsidRDefault="00761A89">
    <w:pPr>
      <w:pStyle w:val="ConsPlusNormal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61A89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61A89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61A89">
          <w:pPr>
            <w:pStyle w:val="ConsPlusNormal"/>
            <w:jc w:val="center"/>
            <w:rPr>
              <w:b/>
              <w:bCs/>
              <w:sz w:val="20"/>
              <w:szCs w:val="20"/>
            </w:rPr>
          </w:pPr>
          <w:hyperlink r:id="rId1" w:history="1">
            <w:r>
              <w:rPr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61A89">
          <w:pPr>
            <w:pStyle w:val="ConsPlusNormal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Страница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\PAGE</w:instrText>
          </w:r>
          <w:r w:rsidR="00AA39A9">
            <w:rPr>
              <w:sz w:val="20"/>
              <w:szCs w:val="20"/>
            </w:rPr>
            <w:fldChar w:fldCharType="separate"/>
          </w:r>
          <w:r w:rsidR="00AA39A9">
            <w:rPr>
              <w:noProof/>
              <w:sz w:val="20"/>
              <w:szCs w:val="20"/>
            </w:rPr>
            <w:t>1</w: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 xml:space="preserve"> из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\NUMPAGES</w:instrText>
          </w:r>
          <w:r w:rsidR="00AA39A9">
            <w:rPr>
              <w:sz w:val="20"/>
              <w:szCs w:val="20"/>
            </w:rPr>
            <w:fldChar w:fldCharType="separate"/>
          </w:r>
          <w:r w:rsidR="00AA39A9">
            <w:rPr>
              <w:noProof/>
              <w:sz w:val="20"/>
              <w:szCs w:val="20"/>
            </w:rPr>
            <w:t>7</w:t>
          </w:r>
          <w:r>
            <w:rPr>
              <w:sz w:val="20"/>
              <w:szCs w:val="20"/>
            </w:rPr>
            <w:fldChar w:fldCharType="end"/>
          </w:r>
        </w:p>
      </w:tc>
    </w:tr>
  </w:tbl>
  <w:p w:rsidR="00000000" w:rsidRDefault="00761A89">
    <w:pPr>
      <w:pStyle w:val="ConsPlusNormal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61A89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61A89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</w:t>
          </w:r>
          <w:r>
            <w:rPr>
              <w:b/>
              <w:bCs/>
              <w:sz w:val="16"/>
              <w:szCs w:val="16"/>
            </w:rPr>
            <w:t>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61A89">
          <w:pPr>
            <w:pStyle w:val="ConsPlusNormal"/>
            <w:jc w:val="center"/>
            <w:rPr>
              <w:b/>
              <w:bCs/>
              <w:sz w:val="20"/>
              <w:szCs w:val="20"/>
            </w:rPr>
          </w:pPr>
          <w:hyperlink r:id="rId1" w:history="1">
            <w:r>
              <w:rPr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61A89">
          <w:pPr>
            <w:pStyle w:val="ConsPlusNormal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Страница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\PAGE</w:instrText>
          </w:r>
          <w:r w:rsidR="00AA39A9">
            <w:rPr>
              <w:sz w:val="20"/>
              <w:szCs w:val="20"/>
            </w:rPr>
            <w:fldChar w:fldCharType="separate"/>
          </w:r>
          <w:r w:rsidR="00AA39A9">
            <w:rPr>
              <w:noProof/>
              <w:sz w:val="20"/>
              <w:szCs w:val="20"/>
            </w:rPr>
            <w:t>7</w: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 xml:space="preserve"> из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\NUMPAGES</w:instrText>
          </w:r>
          <w:r w:rsidR="00AA39A9">
            <w:rPr>
              <w:sz w:val="20"/>
              <w:szCs w:val="20"/>
            </w:rPr>
            <w:fldChar w:fldCharType="separate"/>
          </w:r>
          <w:r w:rsidR="00AA39A9">
            <w:rPr>
              <w:noProof/>
              <w:sz w:val="20"/>
              <w:szCs w:val="20"/>
            </w:rPr>
            <w:t>7</w:t>
          </w:r>
          <w:r>
            <w:rPr>
              <w:sz w:val="20"/>
              <w:szCs w:val="20"/>
            </w:rPr>
            <w:fldChar w:fldCharType="end"/>
          </w:r>
        </w:p>
      </w:tc>
    </w:tr>
  </w:tbl>
  <w:p w:rsidR="00000000" w:rsidRDefault="00761A89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A89" w:rsidRDefault="00761A89">
      <w:pPr>
        <w:spacing w:after="0" w:line="240" w:lineRule="auto"/>
      </w:pPr>
      <w:r>
        <w:separator/>
      </w:r>
    </w:p>
  </w:footnote>
  <w:footnote w:type="continuationSeparator" w:id="0">
    <w:p w:rsidR="00761A89" w:rsidRDefault="00761A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61A89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Решение Судебной коллегии по административным делам Верховного Суда РФ от 04.09.2019 N АКПИ19-499</w:t>
          </w:r>
          <w:r>
            <w:rPr>
              <w:sz w:val="16"/>
              <w:szCs w:val="16"/>
            </w:rPr>
            <w:br/>
            <w:t>&lt;Об отказе в удовлетво...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61A89">
          <w:pPr>
            <w:pStyle w:val="ConsPlusNormal"/>
            <w:jc w:val="center"/>
          </w:pPr>
        </w:p>
        <w:p w:rsidR="00000000" w:rsidRDefault="00761A89">
          <w:pPr>
            <w:pStyle w:val="ConsPlusNormal"/>
            <w:jc w:val="center"/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61A89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03.03.2020</w:t>
          </w:r>
        </w:p>
      </w:tc>
    </w:tr>
  </w:tbl>
  <w:p w:rsidR="00000000" w:rsidRDefault="00761A89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761A89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AA39A9">
          <w:pPr>
            <w:pStyle w:val="ConsPlusNormal"/>
          </w:pPr>
          <w:r>
            <w:rPr>
              <w:noProof/>
            </w:rPr>
            <w:drawing>
              <wp:inline distT="0" distB="0" distL="0" distR="0">
                <wp:extent cx="1905000" cy="450850"/>
                <wp:effectExtent l="0" t="0" r="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450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000000" w:rsidRDefault="00761A89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Решение Судебной коллегии по административным делам Верховного Суда РФ от 04.09.2019 N АКПИ19-499</w:t>
          </w:r>
          <w:r>
            <w:rPr>
              <w:sz w:val="16"/>
              <w:szCs w:val="16"/>
            </w:rPr>
            <w:br/>
            <w:t>&lt;Об отказе в удовлет</w:t>
          </w:r>
          <w:r>
            <w:rPr>
              <w:sz w:val="16"/>
              <w:szCs w:val="16"/>
            </w:rPr>
            <w:t>во...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61A89">
          <w:pPr>
            <w:pStyle w:val="ConsPlusNormal"/>
            <w:jc w:val="center"/>
          </w:pPr>
        </w:p>
        <w:p w:rsidR="00000000" w:rsidRDefault="00761A89">
          <w:pPr>
            <w:pStyle w:val="ConsPlusNormal"/>
            <w:jc w:val="center"/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61A89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2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03.03.2020</w:t>
          </w:r>
        </w:p>
      </w:tc>
    </w:tr>
  </w:tbl>
  <w:p w:rsidR="00000000" w:rsidRDefault="00761A89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761A89">
    <w:pPr>
      <w:pStyle w:val="ConsPlusNormal"/>
    </w:pPr>
    <w:r>
      <w:rPr>
        <w:sz w:val="10"/>
        <w:szCs w:val="10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61A89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Решение Судебной коллегии по административным делам Верховного Суда РФ от 04.09.2019 N АКПИ19-499</w:t>
          </w:r>
          <w:r>
            <w:rPr>
              <w:sz w:val="16"/>
              <w:szCs w:val="16"/>
            </w:rPr>
            <w:br/>
            <w:t>&lt;Об отказе в удовлетво...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61A89">
          <w:pPr>
            <w:pStyle w:val="ConsPlusNormal"/>
            <w:jc w:val="center"/>
          </w:pPr>
        </w:p>
        <w:p w:rsidR="00000000" w:rsidRDefault="00761A89">
          <w:pPr>
            <w:pStyle w:val="ConsPlusNormal"/>
            <w:jc w:val="center"/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61A89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03.03.2020</w:t>
          </w:r>
        </w:p>
      </w:tc>
    </w:tr>
  </w:tbl>
  <w:p w:rsidR="00000000" w:rsidRDefault="00761A89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761A89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9A9"/>
    <w:rsid w:val="00761A89"/>
    <w:rsid w:val="00AA3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A3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39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A3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39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nsultant.ru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2711</Words>
  <Characters>15455</Characters>
  <Application>Microsoft Office Word</Application>
  <DocSecurity>2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Судебной коллегии по административным делам Верховного Суда РФ от 04.09.2019 N АКПИ19-499&lt;Об отказе в удовлетворении заявления о признании частично недействующим абзацев первого - третьего пункта 8(5) Правил технологического присоединения энергопр</vt:lpstr>
    </vt:vector>
  </TitlesOfParts>
  <Company>КонсультантПлюс Версия 4018.00.50</Company>
  <LinksUpToDate>false</LinksUpToDate>
  <CharactersWithSpaces>18130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Судебной коллегии по административным делам Верховного Суда РФ от 04.09.2019 N АКПИ19-499&lt;Об отказе в удовлетворении заявления о признании частично недействующим абзацев первого - третьего пункта 8(5) Правил технологического присоединения энергопр</dc:title>
  <dc:creator>Вадим Лебедев</dc:creator>
  <cp:lastModifiedBy>Вадим Лебедев</cp:lastModifiedBy>
  <cp:revision>2</cp:revision>
  <dcterms:created xsi:type="dcterms:W3CDTF">2020-03-03T09:55:00Z</dcterms:created>
  <dcterms:modified xsi:type="dcterms:W3CDTF">2020-03-03T09:55:00Z</dcterms:modified>
</cp:coreProperties>
</file>