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87"/>
        <w:ind w:right="1057"/>
      </w:pPr>
      <w:r>
        <w:rPr/>
        <w:t>ПОЯСНИТЕЛЬНАЯ ЗАПИСКА</w:t>
      </w:r>
    </w:p>
    <w:p>
      <w:pPr>
        <w:pStyle w:val="BodyText"/>
        <w:spacing w:before="10"/>
        <w:rPr>
          <w:sz w:val="65"/>
        </w:rPr>
      </w:pPr>
    </w:p>
    <w:p>
      <w:pPr>
        <w:spacing w:line="609" w:lineRule="exact" w:before="1"/>
        <w:ind w:left="1058" w:right="940" w:firstLine="0"/>
        <w:jc w:val="center"/>
        <w:rPr>
          <w:sz w:val="52"/>
        </w:rPr>
      </w:pPr>
      <w:r>
        <w:rPr>
          <w:sz w:val="52"/>
        </w:rPr>
        <w:t>К УСТАВУ</w:t>
      </w:r>
    </w:p>
    <w:p>
      <w:pPr>
        <w:spacing w:line="421" w:lineRule="exact" w:before="0"/>
        <w:ind w:left="1058" w:right="1060" w:firstLine="0"/>
        <w:jc w:val="center"/>
        <w:rPr>
          <w:sz w:val="36"/>
        </w:rPr>
      </w:pPr>
      <w:r>
        <w:rPr>
          <w:sz w:val="36"/>
        </w:rPr>
        <w:t>Садоводческого некоммерческого товарищества</w:t>
      </w:r>
    </w:p>
    <w:p>
      <w:pPr>
        <w:spacing w:before="139"/>
        <w:ind w:left="1058" w:right="1054" w:firstLine="0"/>
        <w:jc w:val="center"/>
        <w:rPr>
          <w:sz w:val="40"/>
        </w:rPr>
      </w:pPr>
      <w:r>
        <w:rPr>
          <w:sz w:val="40"/>
        </w:rPr>
        <w:t>«Дружба»</w:t>
      </w:r>
    </w:p>
    <w:p>
      <w:pPr>
        <w:pStyle w:val="BodyText"/>
        <w:spacing w:before="1"/>
        <w:rPr>
          <w:sz w:val="36"/>
        </w:rPr>
      </w:pPr>
    </w:p>
    <w:p>
      <w:pPr>
        <w:pStyle w:val="BodyText"/>
        <w:ind w:left="833"/>
      </w:pPr>
      <w:r>
        <w:rPr/>
        <w:t>ВВОДНАЯ</w:t>
      </w:r>
    </w:p>
    <w:p>
      <w:pPr>
        <w:pStyle w:val="BodyText"/>
        <w:spacing w:before="121"/>
        <w:ind w:left="125" w:right="103" w:firstLine="708"/>
        <w:jc w:val="both"/>
      </w:pPr>
      <w:r>
        <w:rPr/>
        <w:t>С 01.01.2019 г. вступает в действие Федеральный закон от 29.07.2017 г. № 217-ФЗ «О веде- нии гражданами садоводства и огородничества для собственных нужд и о внесении изменений в отдельные законодательные акты Российской Федерации», далее по тексту - Закон:</w:t>
      </w:r>
    </w:p>
    <w:p>
      <w:pPr>
        <w:pStyle w:val="BodyText"/>
        <w:spacing w:before="1"/>
      </w:pPr>
    </w:p>
    <w:p>
      <w:pPr>
        <w:pStyle w:val="BodyText"/>
        <w:spacing w:line="257" w:lineRule="exact"/>
        <w:ind w:left="833"/>
      </w:pPr>
      <w:r>
        <w:rPr/>
        <w:t>АКТУАЛЬНОСТЬ.</w:t>
      </w:r>
    </w:p>
    <w:p>
      <w:pPr>
        <w:pStyle w:val="BodyText"/>
        <w:ind w:left="125" w:right="104" w:firstLine="708"/>
        <w:jc w:val="both"/>
      </w:pPr>
      <w:r>
        <w:rPr/>
        <w:t>ДНТ «Дружба» предстоит стать садоводческим товариществом. Как справедливо отметил Глава города на собрании в конференц-зале, особого роста садовых деревьев у нас и на Крайнем Севере, не замечено.</w:t>
      </w:r>
    </w:p>
    <w:p>
      <w:pPr>
        <w:pStyle w:val="BodyText"/>
        <w:spacing w:before="1"/>
        <w:ind w:left="125" w:right="105" w:firstLine="708"/>
        <w:jc w:val="both"/>
      </w:pPr>
      <w:r>
        <w:rPr/>
        <w:t>Однако, переход в садоводческую форму товарищества позволит узаконить недвижимость, о чём ёмко сказано в комментарии ТАТЬЯНЫ ХВЫЩУК, начальника отдела земельных отношений УМИ:</w:t>
      </w:r>
    </w:p>
    <w:p>
      <w:pPr>
        <w:pStyle w:val="BodyText"/>
        <w:ind w:left="125" w:right="106" w:firstLine="708"/>
        <w:jc w:val="both"/>
      </w:pPr>
      <w:r>
        <w:rPr/>
        <w:t>«В садоводческом товариществе можно возвести садовый домик, соответственно, зареги- стрировать на него право собственности, и использовать строение </w:t>
      </w:r>
      <w:r>
        <w:rPr>
          <w:spacing w:val="-2"/>
        </w:rPr>
        <w:t>для </w:t>
      </w:r>
      <w:r>
        <w:rPr/>
        <w:t>временного пребывания граждан на территории этого участка. Также есть такое понятие, как «огороднический участок». Находящиеся на нем объекты недвижимости не подлежат регистрации и оформлению на них права собственности, то есть они являются временными сооружениями для хранения инвентаря и прочего». В дачном поселке многие отстроили капитальные дома и теперь дачникам необходи- мо внести поправки в устав и переименоваться в садоводческое некоммерческое товарищество - СНТ.</w:t>
      </w:r>
    </w:p>
    <w:p>
      <w:pPr>
        <w:pStyle w:val="BodyText"/>
        <w:ind w:left="125" w:right="106" w:firstLine="708"/>
        <w:jc w:val="both"/>
      </w:pPr>
      <w:r>
        <w:rPr/>
        <w:t>Источник: </w:t>
      </w:r>
      <w:hyperlink r:id="rId5">
        <w:r>
          <w:rPr/>
          <w:t>http://www.muravlenko24.ru/news/39279-s-1-yanvarya-zhizn-dachnikov-serezno-</w:t>
        </w:r>
      </w:hyperlink>
      <w:r>
        <w:rPr/>
        <w:t> izmenitsya.html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ind w:left="833"/>
      </w:pPr>
      <w:r>
        <w:rPr/>
        <w:t>Стоит отметить и другую особенность.</w:t>
      </w:r>
    </w:p>
    <w:p>
      <w:pPr>
        <w:pStyle w:val="BodyText"/>
        <w:spacing w:before="2"/>
        <w:ind w:left="125" w:right="104" w:firstLine="708"/>
        <w:jc w:val="both"/>
      </w:pPr>
      <w:r>
        <w:rPr/>
        <w:t>В юридическом плане (по ст. 57 Гражданского кодекса РФ) процесс перехода из ДНТ в СНТ является реорганизацией юридического лица. Ссылка на это в Уставе может стать «юридической миной», поскольку существует правоприменительная практика по спорам с контролирующими органами. Эта практика противоречивая. Подробности её интересны узкому кругу специалистов, но могут повлечь судебные разбирательства.</w:t>
      </w:r>
    </w:p>
    <w:p>
      <w:pPr>
        <w:pStyle w:val="BodyText"/>
        <w:ind w:left="125" w:right="105" w:firstLine="708"/>
        <w:jc w:val="both"/>
      </w:pPr>
      <w:r>
        <w:rPr/>
        <w:t>В связи с этим, целесообразнее не вносить в Устав сведения о правопреемстве СНТ, имея в виду, что переход прав и обязанностей от ДНТ в СНТ происходит в процессе т.н. универсального правопреемства и не требует отражения в Уставе.</w:t>
      </w:r>
    </w:p>
    <w:p>
      <w:pPr>
        <w:pStyle w:val="BodyText"/>
      </w:pPr>
    </w:p>
    <w:p>
      <w:pPr>
        <w:pStyle w:val="BodyText"/>
        <w:ind w:left="125" w:right="106" w:firstLine="708"/>
        <w:jc w:val="both"/>
      </w:pPr>
      <w:r>
        <w:rPr/>
        <w:t>Еще одной особенностью является положение о том, нужно ли писать бывшим дачникам заявление о вступление в СНТ.</w:t>
      </w:r>
    </w:p>
    <w:p>
      <w:pPr>
        <w:pStyle w:val="BodyText"/>
        <w:ind w:left="125" w:right="105" w:firstLine="708"/>
        <w:jc w:val="both"/>
      </w:pPr>
      <w:r>
        <w:rPr/>
        <w:t>Согласно Закону членство в СНТ возникает со дня государственной регистрации нового товарищества (СНТ). При этом</w:t>
      </w:r>
      <w:r>
        <w:rPr>
          <w:u w:val="single"/>
        </w:rPr>
        <w:t> не требуется</w:t>
      </w:r>
      <w:r>
        <w:rPr/>
        <w:t> принятие решения о приеме в члены СНТ.</w:t>
      </w:r>
    </w:p>
    <w:p>
      <w:pPr>
        <w:pStyle w:val="BodyText"/>
        <w:spacing w:before="11"/>
        <w:rPr>
          <w:sz w:val="21"/>
        </w:rPr>
      </w:pPr>
    </w:p>
    <w:p>
      <w:pPr>
        <w:pStyle w:val="BodyText"/>
        <w:ind w:left="125" w:right="106" w:firstLine="708"/>
        <w:jc w:val="both"/>
      </w:pPr>
      <w:r>
        <w:rPr/>
        <w:t>По всему тексту Устава «не переписывались» положения Закона, других нормативно- правовых актов, т.к. нормы закона действуют во времени, в пространстве и по кругу лиц вне зави-</w:t>
      </w:r>
    </w:p>
    <w:p>
      <w:pPr>
        <w:spacing w:after="0"/>
        <w:jc w:val="both"/>
        <w:sectPr>
          <w:type w:val="continuous"/>
          <w:pgSz w:w="11910" w:h="16840"/>
          <w:pgMar w:top="1340" w:bottom="280" w:left="1020" w:right="740"/>
        </w:sectPr>
      </w:pPr>
    </w:p>
    <w:p>
      <w:pPr>
        <w:pStyle w:val="BodyText"/>
        <w:spacing w:before="90"/>
        <w:ind w:left="125" w:right="106"/>
        <w:jc w:val="both"/>
      </w:pPr>
      <w:r>
        <w:rPr/>
        <w:t>симости от упоминания об этом в Уставе. Проще говоря, как незнание закона не освобождает от ответственности, так и «переписывание» Закона в Уставе не прибавляет и не убавляет юр. силу положений Закона.</w:t>
      </w:r>
    </w:p>
    <w:p>
      <w:pPr>
        <w:pStyle w:val="BodyText"/>
        <w:spacing w:before="120"/>
        <w:ind w:left="125" w:right="105" w:firstLine="708"/>
        <w:jc w:val="both"/>
      </w:pPr>
      <w:r>
        <w:rPr/>
        <w:t>Поэтому, отдельные положения Закона упомянуты в Уставе либо в связи с прямым требо- ванием этого (ст. 8, см. ниже), либо там где Закон оставляет возможность членам Товарищества самим определить какие-то моменты. Например, определить состав Правления от 3 чел. до 5 % от общего числа членов Товарищества, тайное или открытое голосование и проч.</w:t>
      </w:r>
    </w:p>
    <w:p>
      <w:pPr>
        <w:spacing w:before="120"/>
        <w:ind w:left="833" w:right="0" w:firstLine="0"/>
        <w:jc w:val="left"/>
        <w:rPr>
          <w:sz w:val="22"/>
        </w:rPr>
      </w:pPr>
      <w:r>
        <w:rPr>
          <w:b/>
          <w:sz w:val="22"/>
        </w:rPr>
        <w:t>В уставе товарищества (ст. 8 Закона) в обязательном порядке указываются</w:t>
      </w:r>
      <w:r>
        <w:rPr>
          <w:sz w:val="22"/>
        </w:rPr>
        <w:t>:</w:t>
      </w:r>
    </w:p>
    <w:p>
      <w:pPr>
        <w:pStyle w:val="ListParagraph"/>
        <w:numPr>
          <w:ilvl w:val="0"/>
          <w:numId w:val="1"/>
        </w:numPr>
        <w:tabs>
          <w:tab w:pos="1088" w:val="left" w:leader="none"/>
        </w:tabs>
        <w:spacing w:line="257" w:lineRule="exact" w:before="1" w:after="0"/>
        <w:ind w:left="1087" w:right="0" w:hanging="254"/>
        <w:jc w:val="left"/>
        <w:rPr>
          <w:sz w:val="22"/>
        </w:rPr>
      </w:pPr>
      <w:r>
        <w:rPr>
          <w:sz w:val="22"/>
        </w:rPr>
        <w:t>наименование товарищества; </w:t>
      </w:r>
      <w:r>
        <w:rPr>
          <w:sz w:val="22"/>
          <w:u w:val="single"/>
        </w:rPr>
        <w:t>- ст. 1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088" w:val="left" w:leader="none"/>
        </w:tabs>
        <w:spacing w:line="257" w:lineRule="exact" w:before="0" w:after="0"/>
        <w:ind w:left="1087" w:right="0" w:hanging="254"/>
        <w:jc w:val="left"/>
        <w:rPr>
          <w:sz w:val="22"/>
        </w:rPr>
      </w:pPr>
      <w:r>
        <w:rPr>
          <w:sz w:val="22"/>
        </w:rPr>
        <w:t>организационно-правовая форма товарищества; </w:t>
      </w:r>
      <w:r>
        <w:rPr>
          <w:sz w:val="22"/>
          <w:u w:val="single"/>
        </w:rPr>
        <w:t>- ст. 1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088" w:val="left" w:leader="none"/>
        </w:tabs>
        <w:spacing w:line="257" w:lineRule="exact" w:before="1" w:after="0"/>
        <w:ind w:left="1087" w:right="0" w:hanging="254"/>
        <w:jc w:val="left"/>
        <w:rPr>
          <w:sz w:val="22"/>
        </w:rPr>
      </w:pPr>
      <w:r>
        <w:rPr>
          <w:sz w:val="22"/>
        </w:rPr>
        <w:t>место нахождения товарищества; </w:t>
      </w:r>
      <w:r>
        <w:rPr>
          <w:sz w:val="22"/>
          <w:u w:val="single"/>
        </w:rPr>
        <w:t>- ст. 1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088" w:val="left" w:leader="none"/>
        </w:tabs>
        <w:spacing w:line="257" w:lineRule="exact" w:before="0" w:after="0"/>
        <w:ind w:left="1087" w:right="0" w:hanging="254"/>
        <w:jc w:val="left"/>
        <w:rPr>
          <w:sz w:val="22"/>
        </w:rPr>
      </w:pPr>
      <w:r>
        <w:rPr>
          <w:sz w:val="22"/>
        </w:rPr>
        <w:t>предмет и цели деятельности товарищества; </w:t>
      </w:r>
      <w:r>
        <w:rPr>
          <w:sz w:val="22"/>
          <w:u w:val="single"/>
        </w:rPr>
        <w:t>- ст. 1,2</w:t>
      </w:r>
      <w:r>
        <w:rPr>
          <w:spacing w:val="-9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095" w:val="left" w:leader="none"/>
        </w:tabs>
        <w:spacing w:line="240" w:lineRule="auto" w:before="2" w:after="0"/>
        <w:ind w:left="125" w:right="105" w:firstLine="708"/>
        <w:jc w:val="left"/>
        <w:rPr>
          <w:sz w:val="22"/>
        </w:rPr>
      </w:pPr>
      <w:r>
        <w:rPr>
          <w:sz w:val="22"/>
        </w:rPr>
        <w:t>порядок управления деятельностью товарищества, в том числе полномочия органов то- варищества, порядок принятия ими решений; </w:t>
      </w:r>
      <w:r>
        <w:rPr>
          <w:sz w:val="22"/>
          <w:u w:val="single"/>
        </w:rPr>
        <w:t>- ст. 6</w:t>
      </w:r>
      <w:r>
        <w:rPr>
          <w:spacing w:val="-6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107" w:val="left" w:leader="none"/>
        </w:tabs>
        <w:spacing w:line="240" w:lineRule="auto" w:before="0" w:after="0"/>
        <w:ind w:left="125" w:right="109" w:firstLine="708"/>
        <w:jc w:val="left"/>
        <w:rPr>
          <w:sz w:val="22"/>
        </w:rPr>
      </w:pPr>
      <w:r>
        <w:rPr>
          <w:sz w:val="22"/>
        </w:rPr>
        <w:t>порядок приема в члены товарищества, выхода и исключения из числа членов товари- щества; </w:t>
      </w:r>
      <w:r>
        <w:rPr>
          <w:sz w:val="22"/>
          <w:u w:val="single"/>
        </w:rPr>
        <w:t>- ст. 3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088" w:val="left" w:leader="none"/>
        </w:tabs>
        <w:spacing w:line="256" w:lineRule="exact" w:before="0" w:after="0"/>
        <w:ind w:left="1087" w:right="0" w:hanging="254"/>
        <w:jc w:val="left"/>
        <w:rPr>
          <w:sz w:val="22"/>
        </w:rPr>
      </w:pPr>
      <w:r>
        <w:rPr/>
        <w:pict>
          <v:line style="position:absolute;mso-position-horizontal-relative:page;mso-position-vertical-relative:paragraph;z-index:1024" from="349.029999pt,11.360178pt" to="415.293999pt,11.360178pt" stroked="true" strokeweight=".600010pt" strokecolor="#000000">
            <v:stroke dashstyle="solid"/>
            <w10:wrap type="none"/>
          </v:line>
        </w:pict>
      </w:r>
      <w:r>
        <w:rPr>
          <w:sz w:val="22"/>
        </w:rPr>
        <w:t>порядок ведения реестра членов товарищества; - ст. 5</w:t>
      </w:r>
      <w:r>
        <w:rPr>
          <w:spacing w:val="-4"/>
          <w:sz w:val="22"/>
        </w:rPr>
        <w:t> </w:t>
      </w:r>
      <w:r>
        <w:rPr>
          <w:sz w:val="22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088" w:val="left" w:leader="none"/>
        </w:tabs>
        <w:spacing w:line="257" w:lineRule="exact" w:before="2" w:after="0"/>
        <w:ind w:left="1087" w:right="0" w:hanging="254"/>
        <w:jc w:val="left"/>
        <w:rPr>
          <w:sz w:val="22"/>
        </w:rPr>
      </w:pPr>
      <w:r>
        <w:rPr/>
        <w:pict>
          <v:line style="position:absolute;mso-position-horizontal-relative:page;mso-position-vertical-relative:paragraph;z-index:1048" from="415.299988pt,11.572156pt" to="481.563988pt,11.572156pt" stroked="true" strokeweight=".600010pt" strokecolor="#000000">
            <v:stroke dashstyle="solid"/>
            <w10:wrap type="none"/>
          </v:line>
        </w:pict>
      </w:r>
      <w:r>
        <w:rPr>
          <w:sz w:val="22"/>
        </w:rPr>
        <w:t>права, обязанности и ответственность членов товарищества; - ст. 3</w:t>
      </w:r>
      <w:r>
        <w:rPr>
          <w:spacing w:val="-17"/>
          <w:sz w:val="22"/>
        </w:rPr>
        <w:t> </w:t>
      </w:r>
      <w:r>
        <w:rPr>
          <w:sz w:val="22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107" w:val="left" w:leader="none"/>
        </w:tabs>
        <w:spacing w:line="240" w:lineRule="auto" w:before="0" w:after="0"/>
        <w:ind w:left="125" w:right="110" w:firstLine="708"/>
        <w:jc w:val="left"/>
        <w:rPr>
          <w:sz w:val="22"/>
        </w:rPr>
      </w:pPr>
      <w:r>
        <w:rPr>
          <w:sz w:val="22"/>
        </w:rPr>
        <w:t>порядок внесения взносов, ответственность членов товарищества за нарушение обяза- тельств по внесению взносов; </w:t>
      </w:r>
      <w:r>
        <w:rPr>
          <w:sz w:val="22"/>
          <w:u w:val="single"/>
        </w:rPr>
        <w:t>- ст. 4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35" w:val="left" w:leader="none"/>
        </w:tabs>
        <w:spacing w:line="240" w:lineRule="auto" w:before="0" w:after="0"/>
        <w:ind w:left="1234" w:right="0" w:hanging="401"/>
        <w:jc w:val="left"/>
        <w:rPr>
          <w:sz w:val="22"/>
        </w:rPr>
      </w:pPr>
      <w:r>
        <w:rPr>
          <w:sz w:val="22"/>
        </w:rPr>
        <w:t>состав, порядок образования и полномочия ревизионной комиссии (ревизора); </w:t>
      </w:r>
      <w:r>
        <w:rPr>
          <w:sz w:val="22"/>
          <w:u w:val="single"/>
        </w:rPr>
        <w:t>-</w:t>
      </w:r>
      <w:r>
        <w:rPr>
          <w:spacing w:val="-25"/>
          <w:sz w:val="22"/>
          <w:u w:val="single"/>
        </w:rPr>
        <w:t> </w:t>
      </w:r>
      <w:r>
        <w:rPr>
          <w:sz w:val="22"/>
          <w:u w:val="single"/>
        </w:rPr>
        <w:t>ст. 8</w:t>
      </w:r>
    </w:p>
    <w:p>
      <w:pPr>
        <w:pStyle w:val="BodyText"/>
        <w:spacing w:line="257" w:lineRule="exact" w:before="1"/>
        <w:ind w:left="125"/>
      </w:pPr>
      <w:r>
        <w:rPr>
          <w:rFonts w:ascii="Times New Roman" w:hAnsi="Times New Roman"/>
          <w:spacing w:val="-56"/>
          <w:w w:val="100"/>
          <w:u w:val="single"/>
        </w:rPr>
        <w:t> </w:t>
      </w:r>
      <w:r>
        <w:rPr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23" w:val="left" w:leader="none"/>
        </w:tabs>
        <w:spacing w:line="240" w:lineRule="auto" w:before="0" w:after="0"/>
        <w:ind w:left="125" w:right="107" w:firstLine="708"/>
        <w:jc w:val="left"/>
        <w:rPr>
          <w:sz w:val="22"/>
        </w:rPr>
      </w:pPr>
      <w:r>
        <w:rPr>
          <w:sz w:val="22"/>
        </w:rPr>
        <w:t>порядок приобретения и создания имущества общего пользования товарищества; </w:t>
      </w:r>
      <w:r>
        <w:rPr>
          <w:sz w:val="22"/>
          <w:u w:val="single"/>
        </w:rPr>
        <w:t>- ст. 12</w:t>
      </w:r>
      <w:r>
        <w:rPr>
          <w:spacing w:val="-2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</w:tabs>
        <w:spacing w:line="240" w:lineRule="auto" w:before="0" w:after="0"/>
        <w:ind w:left="1210" w:right="0" w:hanging="377"/>
        <w:jc w:val="left"/>
        <w:rPr>
          <w:sz w:val="22"/>
        </w:rPr>
      </w:pPr>
      <w:r>
        <w:rPr>
          <w:sz w:val="22"/>
        </w:rPr>
        <w:t>порядок изменения устава товарищества; </w:t>
      </w:r>
      <w:r>
        <w:rPr>
          <w:sz w:val="22"/>
          <w:u w:val="single"/>
        </w:rPr>
        <w:t>- ст. 6</w:t>
      </w:r>
      <w:r>
        <w:rPr>
          <w:spacing w:val="-6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11" w:val="left" w:leader="none"/>
        </w:tabs>
        <w:spacing w:line="257" w:lineRule="exact" w:before="1" w:after="0"/>
        <w:ind w:left="1210" w:right="0" w:hanging="377"/>
        <w:jc w:val="left"/>
        <w:rPr>
          <w:sz w:val="22"/>
        </w:rPr>
      </w:pPr>
      <w:r>
        <w:rPr>
          <w:sz w:val="22"/>
        </w:rPr>
        <w:t>порядок реорганизации и ликвидации товарищества; </w:t>
      </w:r>
      <w:r>
        <w:rPr>
          <w:sz w:val="22"/>
          <w:u w:val="single"/>
        </w:rPr>
        <w:t>- ст. 15</w:t>
      </w:r>
      <w:r>
        <w:rPr>
          <w:spacing w:val="-9"/>
          <w:sz w:val="22"/>
          <w:u w:val="single"/>
        </w:rPr>
        <w:t> </w:t>
      </w:r>
      <w:r>
        <w:rPr>
          <w:sz w:val="22"/>
          <w:u w:val="single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47" w:val="left" w:leader="none"/>
        </w:tabs>
        <w:spacing w:line="240" w:lineRule="auto" w:before="0" w:after="0"/>
        <w:ind w:left="125" w:right="103" w:firstLine="708"/>
        <w:jc w:val="both"/>
        <w:rPr>
          <w:sz w:val="22"/>
        </w:rPr>
      </w:pPr>
      <w:r>
        <w:rPr/>
        <w:pict>
          <v:line style="position:absolute;mso-position-horizontal-relative:page;mso-position-vertical-relative:paragraph;z-index:1072" from="111.019997pt,37.27216pt" to="183.283997pt,37.27216pt" stroked="true" strokeweight=".600010pt" strokecolor="#000000">
            <v:stroke dashstyle="solid"/>
            <w10:wrap type="none"/>
          </v:line>
        </w:pict>
      </w:r>
      <w:r>
        <w:rPr>
          <w:sz w:val="22"/>
        </w:rPr>
        <w:t>порядок предоставления членам товарищества информации о деятельности товари- щества и ознакомления с бухгалтерской (финансовой) отчетностью и иной документацией това- рищества; - ст. 10</w:t>
      </w:r>
      <w:r>
        <w:rPr>
          <w:spacing w:val="-4"/>
          <w:sz w:val="22"/>
        </w:rPr>
        <w:t> </w:t>
      </w:r>
      <w:r>
        <w:rPr>
          <w:sz w:val="22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18" w:val="left" w:leader="none"/>
        </w:tabs>
        <w:spacing w:line="240" w:lineRule="auto" w:before="1" w:after="0"/>
        <w:ind w:left="125" w:right="107" w:firstLine="708"/>
        <w:jc w:val="both"/>
        <w:rPr>
          <w:sz w:val="22"/>
        </w:rPr>
      </w:pPr>
      <w:r>
        <w:rPr/>
        <w:pict>
          <v:line style="position:absolute;mso-position-horizontal-relative:page;mso-position-vertical-relative:paragraph;z-index:1096" from="181.25pt,37.202148pt" to="249.89pt,37.202148pt" stroked="true" strokeweight=".600010pt" strokecolor="#000000">
            <v:stroke dashstyle="solid"/>
            <w10:wrap type="none"/>
          </v:line>
        </w:pict>
      </w:r>
      <w:r>
        <w:rPr>
          <w:sz w:val="22"/>
        </w:rPr>
        <w:t>порядок взаимодействия с гражданами, ведущими садоводство или огородничество на земельных участках, расположенных в границах территории садоводства или огородничества, без участия в товариществе; - ст. 3</w:t>
      </w:r>
      <w:r>
        <w:rPr>
          <w:spacing w:val="-4"/>
          <w:sz w:val="22"/>
        </w:rPr>
        <w:t> </w:t>
      </w:r>
      <w:r>
        <w:rPr>
          <w:sz w:val="22"/>
        </w:rPr>
        <w:t>Устава;</w:t>
      </w:r>
    </w:p>
    <w:p>
      <w:pPr>
        <w:pStyle w:val="ListParagraph"/>
        <w:numPr>
          <w:ilvl w:val="0"/>
          <w:numId w:val="1"/>
        </w:numPr>
        <w:tabs>
          <w:tab w:pos="1218" w:val="left" w:leader="none"/>
        </w:tabs>
        <w:spacing w:line="240" w:lineRule="auto" w:before="0" w:after="0"/>
        <w:ind w:left="125" w:right="105" w:firstLine="708"/>
        <w:jc w:val="left"/>
        <w:rPr>
          <w:sz w:val="22"/>
        </w:rPr>
      </w:pPr>
      <w:r>
        <w:rPr>
          <w:sz w:val="22"/>
        </w:rPr>
        <w:t>порядок принятия решений общего собрания членов товарищества путем заочного го- лосования; </w:t>
      </w:r>
      <w:r>
        <w:rPr>
          <w:sz w:val="22"/>
          <w:u w:val="single"/>
        </w:rPr>
        <w:t>- ст. 6</w:t>
      </w:r>
      <w:r>
        <w:rPr>
          <w:spacing w:val="-4"/>
          <w:sz w:val="22"/>
          <w:u w:val="single"/>
        </w:rPr>
        <w:t> </w:t>
      </w:r>
      <w:r>
        <w:rPr>
          <w:sz w:val="22"/>
          <w:u w:val="single"/>
        </w:rPr>
        <w:t>Устава.</w:t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spacing w:before="101"/>
        <w:ind w:left="833"/>
      </w:pPr>
      <w:r>
        <w:rPr/>
        <w:t>Статья 1. ОБЩИЕ ПОЛОЖЕНИЯ</w:t>
      </w:r>
    </w:p>
    <w:p>
      <w:pPr>
        <w:pStyle w:val="BodyText"/>
        <w:spacing w:before="121"/>
        <w:ind w:left="113" w:right="103" w:firstLine="708"/>
        <w:jc w:val="both"/>
      </w:pPr>
      <w:r>
        <w:rPr/>
        <w:t>Приводятся краткие выдержи из норм Федерального закона от 29.07.2017 г. № 217-ФЗ «О ведении гражданами садоводства и огородничества для собственных нужд и о внесении измене- ний в отдельные законодательные акты Российской Федерации» (далее по тексту - Закон).</w:t>
      </w:r>
    </w:p>
    <w:p>
      <w:pPr>
        <w:pStyle w:val="BodyText"/>
        <w:ind w:left="113" w:right="105" w:firstLine="708"/>
        <w:jc w:val="both"/>
      </w:pPr>
      <w:r>
        <w:rPr/>
        <w:t>Исходя из требований законодательства о пожарной безопасности, в статье упоминается ответственность Товарищества за содержание прилегающих территорий, -</w:t>
      </w:r>
    </w:p>
    <w:p>
      <w:pPr>
        <w:spacing w:before="0"/>
        <w:ind w:left="113" w:right="108" w:firstLine="720"/>
        <w:jc w:val="both"/>
        <w:rPr>
          <w:sz w:val="22"/>
        </w:rPr>
      </w:pPr>
      <w:r>
        <w:rPr>
          <w:i/>
          <w:sz w:val="22"/>
        </w:rPr>
        <w:t>- на территории Товарищества, прилегающей к лесу, должна быть обеспечена очистка от </w:t>
      </w:r>
      <w:r>
        <w:rPr>
          <w:i/>
          <w:sz w:val="22"/>
        </w:rPr>
        <w:t>сухой травянистой растительности, валежника, порубочных остатков, мусора и других горючих материалов на полосе не менее 10 метров от леса. Основание: п. 72-3 Правил противопожарного режима в РФ</w:t>
      </w:r>
      <w:r>
        <w:rPr>
          <w:sz w:val="22"/>
        </w:rPr>
        <w:t>.</w:t>
      </w:r>
    </w:p>
    <w:p>
      <w:pPr>
        <w:spacing w:before="0"/>
        <w:ind w:left="113" w:right="104" w:firstLine="720"/>
        <w:jc w:val="both"/>
        <w:rPr>
          <w:i/>
          <w:sz w:val="22"/>
        </w:rPr>
      </w:pPr>
      <w:r>
        <w:rPr>
          <w:sz w:val="22"/>
        </w:rPr>
        <w:t>Место нахождения Товарищества указано в </w:t>
      </w:r>
      <w:r>
        <w:rPr>
          <w:i/>
          <w:sz w:val="22"/>
        </w:rPr>
        <w:t>соответствии со ст. 54 Гражданского кодекса </w:t>
      </w:r>
      <w:r>
        <w:rPr>
          <w:i/>
          <w:sz w:val="22"/>
        </w:rPr>
        <w:t>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(муници- пального образования).</w:t>
      </w:r>
    </w:p>
    <w:p>
      <w:pPr>
        <w:pStyle w:val="BodyText"/>
        <w:spacing w:before="1"/>
        <w:ind w:left="113" w:right="105" w:firstLine="720"/>
        <w:jc w:val="both"/>
      </w:pPr>
      <w:r>
        <w:rPr/>
        <w:t>Место нахождения Товарищества не конкретизировано путём указания адреса, тк. этого не требуется по закону и при возможной смене этого адреса потребуется вносить изменения в Устав, что потребует дополнительных расходов – 800 руб. госпошлины и 2100 руб. у нотариуса.</w:t>
      </w:r>
    </w:p>
    <w:p>
      <w:pPr>
        <w:spacing w:after="0"/>
        <w:jc w:val="both"/>
        <w:sectPr>
          <w:headerReference w:type="default" r:id="rId6"/>
          <w:pgSz w:w="11910" w:h="16840"/>
          <w:pgMar w:header="737" w:footer="0" w:top="1340" w:bottom="280" w:left="1020" w:right="740"/>
          <w:pgNumType w:start="2"/>
        </w:sectPr>
      </w:pPr>
    </w:p>
    <w:p>
      <w:pPr>
        <w:pStyle w:val="BodyText"/>
        <w:rPr>
          <w:sz w:val="21"/>
        </w:rPr>
      </w:pPr>
    </w:p>
    <w:p>
      <w:pPr>
        <w:pStyle w:val="BodyText"/>
        <w:spacing w:before="101"/>
        <w:ind w:left="833"/>
      </w:pPr>
      <w:r>
        <w:rPr/>
        <w:t>Статья 3. УЧАСТИЕ В ТОВАРИЩЕСТВЕ</w:t>
      </w:r>
    </w:p>
    <w:p>
      <w:pPr>
        <w:pStyle w:val="BodyText"/>
        <w:spacing w:before="121"/>
        <w:ind w:left="113" w:right="104" w:firstLine="720"/>
        <w:jc w:val="both"/>
      </w:pPr>
      <w:r>
        <w:rPr/>
        <w:t>Закрепляются права индивидуальных садоводов на недискриминационный доступ к иму- ществу общего пользования Товарищества за плату и на условиях заключения договоров в пись- менной форме.</w:t>
      </w:r>
    </w:p>
    <w:p>
      <w:pPr>
        <w:pStyle w:val="BodyText"/>
        <w:spacing w:before="8"/>
      </w:pP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370" w:lineRule="atLeast" w:before="1" w:after="0"/>
        <w:ind w:left="821" w:right="2217" w:firstLine="12"/>
        <w:jc w:val="left"/>
        <w:rPr>
          <w:sz w:val="22"/>
        </w:rPr>
      </w:pPr>
      <w:r>
        <w:rPr>
          <w:sz w:val="22"/>
        </w:rPr>
        <w:t>СОСТАВ, РАЗМЕР, ПОРЯДОК ВНЕСЕНИЯ ОБЯЗАТЕЛЬНЫХ ПЛАТЕЖЕЙ Закон оставляет два вида взносов: членские и</w:t>
      </w:r>
      <w:r>
        <w:rPr>
          <w:spacing w:val="-5"/>
          <w:sz w:val="22"/>
        </w:rPr>
        <w:t> </w:t>
      </w:r>
      <w:r>
        <w:rPr>
          <w:sz w:val="22"/>
        </w:rPr>
        <w:t>целевые.</w:t>
      </w:r>
    </w:p>
    <w:p>
      <w:pPr>
        <w:pStyle w:val="BodyText"/>
        <w:spacing w:line="257" w:lineRule="exact" w:before="8"/>
        <w:ind w:left="821"/>
      </w:pPr>
      <w:r>
        <w:rPr/>
        <w:t>Индивидуальные садоводы должны вносить платежи по договору ренты (ст. 583 ГК РФ).</w:t>
      </w:r>
    </w:p>
    <w:p>
      <w:pPr>
        <w:pStyle w:val="BodyText"/>
        <w:spacing w:line="257" w:lineRule="exact"/>
        <w:ind w:left="113"/>
      </w:pPr>
      <w:r>
        <w:rPr/>
        <w:t>Эта форма договора будет предлагаться индивидуальным садоводам.</w:t>
      </w:r>
    </w:p>
    <w:p>
      <w:pPr>
        <w:pStyle w:val="BodyText"/>
      </w:pPr>
    </w:p>
    <w:p>
      <w:pPr>
        <w:pStyle w:val="BodyText"/>
        <w:ind w:left="113" w:firstLine="708"/>
      </w:pPr>
      <w:r>
        <w:rPr/>
        <w:t>Предложен </w:t>
      </w:r>
      <w:r>
        <w:rPr>
          <w:i/>
        </w:rPr>
        <w:t>ежемесячный платёж </w:t>
      </w:r>
      <w:r>
        <w:rPr/>
        <w:t>для работы личного кабинета и возможности взыскания невыплат в судебном порядке в более короткие сроки.</w:t>
      </w:r>
    </w:p>
    <w:p>
      <w:pPr>
        <w:pStyle w:val="BodyText"/>
        <w:spacing w:before="1"/>
        <w:ind w:left="113" w:right="105" w:firstLine="708"/>
        <w:jc w:val="both"/>
      </w:pPr>
      <w:r>
        <w:rPr/>
        <w:t>Предложено условие оплаты не позднее 5 (пяти) дней календарного месяца, следующего за отчётным, т.к. контрагенты выставляет дату оплату не позднее 10-го числа (чтобы 5 раб. дней иметь в</w:t>
      </w:r>
      <w:r>
        <w:rPr>
          <w:spacing w:val="-2"/>
        </w:rPr>
        <w:t> </w:t>
      </w:r>
      <w:r>
        <w:rPr/>
        <w:t>запасе).</w:t>
      </w:r>
    </w:p>
    <w:p>
      <w:pPr>
        <w:pStyle w:val="BodyText"/>
        <w:ind w:left="113" w:right="76" w:firstLine="720"/>
      </w:pPr>
      <w:r>
        <w:rPr/>
        <w:t>Предусмотрено взыскание не только долга, но и пени (в размере, как по налогам), судеб- ных расходов по взысканию этих сумм.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350" w:lineRule="auto" w:before="0" w:after="0"/>
        <w:ind w:left="833" w:right="4567" w:firstLine="0"/>
        <w:jc w:val="left"/>
        <w:rPr>
          <w:sz w:val="22"/>
        </w:rPr>
      </w:pPr>
      <w:r>
        <w:rPr>
          <w:sz w:val="22"/>
        </w:rPr>
        <w:t>ВЕДЕНИЕ РЕЕСТРА ЧЛЕНОВ ТОВАРИЩЕСТВА В этой части повторяются положения</w:t>
      </w:r>
      <w:r>
        <w:rPr>
          <w:spacing w:val="-11"/>
          <w:sz w:val="22"/>
        </w:rPr>
        <w:t> </w:t>
      </w:r>
      <w:r>
        <w:rPr>
          <w:sz w:val="22"/>
        </w:rPr>
        <w:t>Закона.</w:t>
      </w: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240" w:lineRule="auto" w:before="140" w:after="0"/>
        <w:ind w:left="1049" w:right="0" w:hanging="216"/>
        <w:jc w:val="left"/>
        <w:rPr>
          <w:sz w:val="22"/>
        </w:rPr>
      </w:pPr>
      <w:r>
        <w:rPr>
          <w:sz w:val="22"/>
        </w:rPr>
        <w:t>ОРГАНЫ УПРАВЛЕНИЯ ТОВАРИЩЕСТВОМ И КОНТРОЛЯ ЗА ЕГО</w:t>
      </w:r>
      <w:r>
        <w:rPr>
          <w:spacing w:val="-11"/>
          <w:sz w:val="22"/>
        </w:rPr>
        <w:t> </w:t>
      </w:r>
      <w:r>
        <w:rPr>
          <w:sz w:val="22"/>
        </w:rPr>
        <w:t>ДЕЯТЕЛЬНОСТЬЮ.</w:t>
      </w:r>
    </w:p>
    <w:p>
      <w:pPr>
        <w:pStyle w:val="ListParagraph"/>
        <w:numPr>
          <w:ilvl w:val="1"/>
          <w:numId w:val="2"/>
        </w:numPr>
        <w:tabs>
          <w:tab w:pos="1206" w:val="left" w:leader="none"/>
        </w:tabs>
        <w:spacing w:line="240" w:lineRule="auto" w:before="121" w:after="0"/>
        <w:ind w:left="1205" w:right="0" w:hanging="384"/>
        <w:jc w:val="left"/>
        <w:rPr>
          <w:sz w:val="22"/>
        </w:rPr>
      </w:pPr>
      <w:r>
        <w:rPr>
          <w:sz w:val="22"/>
        </w:rPr>
        <w:t>Органами управления Товариществом и контроля его деятельностью</w:t>
      </w:r>
      <w:r>
        <w:rPr>
          <w:spacing w:val="-9"/>
          <w:sz w:val="22"/>
        </w:rPr>
        <w:t> </w:t>
      </w:r>
      <w:r>
        <w:rPr>
          <w:sz w:val="22"/>
        </w:rPr>
        <w:t>являются:</w:t>
      </w:r>
    </w:p>
    <w:p>
      <w:pPr>
        <w:pStyle w:val="BodyText"/>
      </w:pPr>
    </w:p>
    <w:p>
      <w:pPr>
        <w:pStyle w:val="BodyText"/>
        <w:spacing w:before="1"/>
        <w:ind w:left="113" w:right="107" w:firstLine="720"/>
        <w:jc w:val="both"/>
      </w:pPr>
      <w:r>
        <w:rPr/>
        <w:t>В целях экономии на фонде оплаты труда предложено минимальное количество членов Правления – трое. Ревизора – одного (если нанимать на «постоянку» и по трудовому договору). Все на условиях минимальной выплаты в размере МРОТ</w:t>
      </w:r>
      <w:r>
        <w:rPr>
          <w:spacing w:val="-7"/>
        </w:rPr>
        <w:t> </w:t>
      </w:r>
      <w:r>
        <w:rPr/>
        <w:t>ЯНАО.</w:t>
      </w:r>
    </w:p>
    <w:p>
      <w:pPr>
        <w:pStyle w:val="BodyText"/>
        <w:ind w:left="113" w:right="76" w:firstLine="720"/>
      </w:pPr>
      <w:r>
        <w:rPr/>
        <w:t>Информирование членов Товарищества о собраниях через сайт в сети «Интернет» (dnt89.ru)</w:t>
      </w:r>
    </w:p>
    <w:p>
      <w:pPr>
        <w:pStyle w:val="BodyText"/>
        <w:ind w:left="833"/>
      </w:pPr>
      <w:r>
        <w:rPr/>
        <w:t>Выборы открытым голосованием. Назначение на 5-ть лет.</w:t>
      </w:r>
    </w:p>
    <w:p>
      <w:pPr>
        <w:pStyle w:val="BodyText"/>
        <w:spacing w:before="10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038" w:val="left" w:leader="none"/>
        </w:tabs>
        <w:spacing w:line="240" w:lineRule="auto" w:before="1" w:after="0"/>
        <w:ind w:left="1037" w:right="0" w:hanging="216"/>
        <w:jc w:val="left"/>
        <w:rPr>
          <w:sz w:val="22"/>
        </w:rPr>
      </w:pPr>
      <w:r>
        <w:rPr>
          <w:sz w:val="22"/>
        </w:rPr>
        <w:t>ПРАВЛЕНИЕ ТОВАРИЩЕСТВА. КОМПЕТЕНЦИЯ И ПОРЯДОК ПРИНЯТИЯ</w:t>
      </w:r>
      <w:r>
        <w:rPr>
          <w:spacing w:val="-13"/>
          <w:sz w:val="22"/>
        </w:rPr>
        <w:t> </w:t>
      </w:r>
      <w:r>
        <w:rPr>
          <w:sz w:val="22"/>
        </w:rPr>
        <w:t>РЕШЕНИЙ</w:t>
      </w:r>
    </w:p>
    <w:p>
      <w:pPr>
        <w:pStyle w:val="BodyText"/>
        <w:spacing w:before="119"/>
        <w:ind w:left="113" w:firstLine="720"/>
      </w:pPr>
      <w:r>
        <w:rPr/>
        <w:t>Предложен состав Правления из председателя и двух заместителей по отдельным направ- лениям деятельности Товарищества.</w:t>
      </w:r>
    </w:p>
    <w:p>
      <w:pPr>
        <w:pStyle w:val="BodyText"/>
        <w:ind w:left="833"/>
      </w:pPr>
      <w:r>
        <w:rPr/>
        <w:t>Предусмотрено введение Положения об оплате труда в Товариществе.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240" w:lineRule="auto" w:before="0" w:after="0"/>
        <w:ind w:left="1049" w:right="0" w:hanging="216"/>
        <w:jc w:val="left"/>
        <w:rPr>
          <w:sz w:val="22"/>
        </w:rPr>
      </w:pPr>
      <w:r>
        <w:rPr>
          <w:sz w:val="22"/>
        </w:rPr>
        <w:t>КОНТРОЛЬНО-РЕВИЗИОННЫЙ ОРГАН</w:t>
      </w:r>
      <w:r>
        <w:rPr>
          <w:spacing w:val="-5"/>
          <w:sz w:val="22"/>
        </w:rPr>
        <w:t> </w:t>
      </w:r>
      <w:r>
        <w:rPr>
          <w:sz w:val="22"/>
        </w:rPr>
        <w:t>ТОВАРИЩЕСТВА</w:t>
      </w:r>
    </w:p>
    <w:p>
      <w:pPr>
        <w:pStyle w:val="BodyText"/>
        <w:spacing w:before="122"/>
        <w:ind w:left="113" w:right="106" w:firstLine="720"/>
        <w:jc w:val="both"/>
      </w:pPr>
      <w:r>
        <w:rPr/>
        <w:t>Предложен единоличный орган (Ревизор) на «постоянку» по трудовому договору (ревизия ведется постоянно в течение года) или заключение договора с аудиторской организацией или индивидуальным аудитором обязанности Ревизора (оплата осуществляется разово в конце года).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1050" w:val="left" w:leader="none"/>
        </w:tabs>
        <w:spacing w:line="240" w:lineRule="auto" w:before="0" w:after="0"/>
        <w:ind w:left="1049" w:right="0" w:hanging="216"/>
        <w:jc w:val="left"/>
        <w:rPr>
          <w:sz w:val="22"/>
        </w:rPr>
      </w:pPr>
      <w:r>
        <w:rPr>
          <w:sz w:val="22"/>
        </w:rPr>
        <w:t>СОВЕТ</w:t>
      </w:r>
      <w:r>
        <w:rPr>
          <w:spacing w:val="-1"/>
          <w:sz w:val="22"/>
        </w:rPr>
        <w:t> </w:t>
      </w:r>
      <w:r>
        <w:rPr>
          <w:sz w:val="22"/>
        </w:rPr>
        <w:t>ТОВАРИЩЕСТВА</w:t>
      </w:r>
    </w:p>
    <w:p>
      <w:pPr>
        <w:pStyle w:val="BodyText"/>
        <w:spacing w:before="119"/>
        <w:ind w:left="113" w:firstLine="720"/>
      </w:pPr>
      <w:r>
        <w:rPr/>
        <w:t>Предложено создание наблюдательного органа, делегирование для участия в заседаниях Правления с совещательного</w:t>
      </w:r>
      <w:r>
        <w:rPr>
          <w:spacing w:val="-1"/>
        </w:rPr>
        <w:t> </w:t>
      </w:r>
      <w:r>
        <w:rPr/>
        <w:t>голоса.</w:t>
      </w:r>
    </w:p>
    <w:p>
      <w:pPr>
        <w:pStyle w:val="BodyText"/>
        <w:ind w:left="113" w:firstLine="720"/>
      </w:pPr>
      <w:r>
        <w:rPr/>
        <w:t>Независимость членов Совета гарантируется невозможностью лишения его полномочий иначе как по собственному</w:t>
      </w:r>
      <w:r>
        <w:rPr>
          <w:spacing w:val="-2"/>
        </w:rPr>
        <w:t> </w:t>
      </w:r>
      <w:r>
        <w:rPr/>
        <w:t>желанию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0" w:after="0"/>
        <w:ind w:left="1171" w:right="0" w:hanging="338"/>
        <w:jc w:val="left"/>
        <w:rPr>
          <w:sz w:val="22"/>
        </w:rPr>
      </w:pPr>
      <w:r>
        <w:rPr>
          <w:sz w:val="22"/>
        </w:rPr>
        <w:t>ВЕДЕНИЕ ДЕЛОПРОИЗВОДСТВА В</w:t>
      </w:r>
      <w:r>
        <w:rPr>
          <w:spacing w:val="-5"/>
          <w:sz w:val="22"/>
        </w:rPr>
        <w:t> </w:t>
      </w:r>
      <w:r>
        <w:rPr>
          <w:sz w:val="22"/>
        </w:rPr>
        <w:t>ТОВАРИЩЕСТВЕ</w:t>
      </w:r>
    </w:p>
    <w:p>
      <w:pPr>
        <w:spacing w:after="0" w:line="240" w:lineRule="auto"/>
        <w:jc w:val="left"/>
        <w:rPr>
          <w:sz w:val="22"/>
        </w:rPr>
        <w:sectPr>
          <w:pgSz w:w="11910" w:h="16840"/>
          <w:pgMar w:header="737" w:footer="0" w:top="1340" w:bottom="280" w:left="1020" w:right="740"/>
        </w:sectPr>
      </w:pPr>
    </w:p>
    <w:p>
      <w:pPr>
        <w:pStyle w:val="BodyText"/>
        <w:spacing w:before="90"/>
        <w:ind w:left="113" w:firstLine="720"/>
      </w:pPr>
      <w:r>
        <w:rPr/>
        <w:t>Предложена выдача бесплатных получение копий документов в электронном виде для заинтересованных лица (не только членов Товарищества, но и индивидуальным садоводам).</w:t>
      </w:r>
    </w:p>
    <w:p>
      <w:pPr>
        <w:pStyle w:val="BodyText"/>
        <w:spacing w:before="2"/>
        <w:rPr>
          <w:sz w:val="32"/>
        </w:rPr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0" w:after="0"/>
        <w:ind w:left="1171" w:right="0" w:hanging="338"/>
        <w:jc w:val="left"/>
        <w:rPr>
          <w:sz w:val="22"/>
        </w:rPr>
      </w:pPr>
      <w:r>
        <w:rPr>
          <w:sz w:val="22"/>
        </w:rPr>
        <w:t>ЗАКЛЮЧЕНИЕ СДЕЛОК НА КОНКУРСНОЙ</w:t>
      </w:r>
      <w:r>
        <w:rPr>
          <w:spacing w:val="-3"/>
          <w:sz w:val="22"/>
        </w:rPr>
        <w:t> </w:t>
      </w:r>
      <w:r>
        <w:rPr>
          <w:sz w:val="22"/>
        </w:rPr>
        <w:t>ОСНОВЕ</w:t>
      </w:r>
    </w:p>
    <w:p>
      <w:pPr>
        <w:pStyle w:val="BodyText"/>
        <w:spacing w:before="122"/>
        <w:ind w:left="113" w:firstLine="720"/>
      </w:pPr>
      <w:r>
        <w:rPr/>
        <w:t>В целях открытости критериев отбора Правлением подрядчиков предложено заключать договоры на основе проведения конкурса.</w:t>
      </w:r>
    </w:p>
    <w:p>
      <w:pPr>
        <w:pStyle w:val="BodyText"/>
        <w:spacing w:before="1"/>
        <w:rPr>
          <w:sz w:val="32"/>
        </w:rPr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352" w:lineRule="auto" w:before="0" w:after="0"/>
        <w:ind w:left="833" w:right="993" w:firstLine="0"/>
        <w:jc w:val="left"/>
        <w:rPr>
          <w:sz w:val="22"/>
        </w:rPr>
      </w:pPr>
      <w:r>
        <w:rPr>
          <w:sz w:val="22"/>
        </w:rPr>
        <w:t>ПОРЯДОК ПРИОБРЕТЕНИЯ И СОЗДАНИЯ ИМУЩЕСТВА ОБЩЕГО ПОЛЬЗОВАНИЯ. В этой части повторяются положения</w:t>
      </w:r>
      <w:r>
        <w:rPr>
          <w:spacing w:val="-5"/>
          <w:sz w:val="22"/>
        </w:rPr>
        <w:t> </w:t>
      </w:r>
      <w:r>
        <w:rPr>
          <w:sz w:val="22"/>
        </w:rPr>
        <w:t>Закона.</w:t>
      </w:r>
    </w:p>
    <w:p>
      <w:pPr>
        <w:pStyle w:val="BodyText"/>
        <w:spacing w:before="11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0" w:after="0"/>
        <w:ind w:left="1171" w:right="0" w:hanging="338"/>
        <w:jc w:val="left"/>
        <w:rPr>
          <w:sz w:val="22"/>
        </w:rPr>
      </w:pPr>
      <w:r>
        <w:rPr>
          <w:sz w:val="22"/>
        </w:rPr>
        <w:t>ФОНДЫ</w:t>
      </w:r>
      <w:r>
        <w:rPr>
          <w:spacing w:val="-5"/>
          <w:sz w:val="22"/>
        </w:rPr>
        <w:t> </w:t>
      </w:r>
      <w:r>
        <w:rPr>
          <w:sz w:val="22"/>
        </w:rPr>
        <w:t>ТОВАРИЩЕСТВА</w:t>
      </w:r>
    </w:p>
    <w:p>
      <w:pPr>
        <w:pStyle w:val="BodyText"/>
        <w:spacing w:before="120"/>
        <w:ind w:left="821"/>
      </w:pPr>
      <w:r>
        <w:rPr/>
        <w:t>Предложено создать резервный фонд для непредусмотренных расходов.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212" w:after="0"/>
        <w:ind w:left="1171" w:right="0" w:hanging="338"/>
        <w:jc w:val="left"/>
        <w:rPr>
          <w:sz w:val="22"/>
        </w:rPr>
      </w:pPr>
      <w:r>
        <w:rPr>
          <w:sz w:val="22"/>
        </w:rPr>
        <w:t>РАСПРЕДЕЛЕНИЕ ПРИБЫЛИ</w:t>
      </w:r>
      <w:r>
        <w:rPr>
          <w:spacing w:val="-3"/>
          <w:sz w:val="22"/>
        </w:rPr>
        <w:t> </w:t>
      </w:r>
      <w:r>
        <w:rPr>
          <w:sz w:val="22"/>
        </w:rPr>
        <w:t>ТОВАРИЩЕСТВА</w:t>
      </w:r>
    </w:p>
    <w:p>
      <w:pPr>
        <w:pStyle w:val="BodyText"/>
        <w:spacing w:before="119"/>
        <w:ind w:left="113" w:right="105" w:firstLine="720"/>
        <w:jc w:val="both"/>
      </w:pPr>
      <w:r>
        <w:rPr/>
        <w:t>Предложено вопросы распределения образовавшейся прибыли (увеличения поступлений не от взносов в Товарищество) передать Правлению для стимулирования навыков хозрасчета у его членов.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1160" w:val="left" w:leader="none"/>
        </w:tabs>
        <w:spacing w:line="350" w:lineRule="auto" w:before="0" w:after="0"/>
        <w:ind w:left="833" w:right="3777" w:hanging="12"/>
        <w:jc w:val="left"/>
        <w:rPr>
          <w:sz w:val="22"/>
        </w:rPr>
      </w:pPr>
      <w:r>
        <w:rPr>
          <w:sz w:val="22"/>
        </w:rPr>
        <w:t>РЕОРГАНИЗАЦИЯ И ЛИКВИДАЦИЯ ТОВАРИЩЕСТВА В этой части повторяются положения</w:t>
      </w:r>
      <w:r>
        <w:rPr>
          <w:spacing w:val="-7"/>
          <w:sz w:val="22"/>
        </w:rPr>
        <w:t> </w:t>
      </w:r>
      <w:r>
        <w:rPr>
          <w:sz w:val="22"/>
        </w:rPr>
        <w:t>Закона.</w:t>
      </w:r>
    </w:p>
    <w:sectPr>
      <w:pgSz w:w="11910" w:h="16840"/>
      <w:pgMar w:header="737" w:footer="0" w:top="1340" w:bottom="280" w:left="10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4480" from="56.664001pt,55.151989pt" to="548.740008pt,55.151989pt" stroked="true" strokeweight=".48pt" strokecolor="#000000">
          <v:stroke dashstyle="solid"/>
          <w10:wrap type="none"/>
        </v:lin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0.520020pt;margin-top:35.837650pt;width:10.65pt;height:16.1pt;mso-position-horizontal-relative:page;mso-position-vertical-relative:page;z-index:-4456" type="#_x0000_t202" filled="false" stroked="false">
          <v:textbox inset="0,0,0,0">
            <w:txbxContent>
              <w:p>
                <w:pPr>
                  <w:spacing w:before="20"/>
                  <w:ind w:left="40" w:right="0" w:firstLine="0"/>
                  <w:jc w:val="left"/>
                  <w:rPr>
                    <w:sz w:val="24"/>
                  </w:rPr>
                </w:pPr>
                <w:r>
                  <w:rPr/>
                  <w:fldChar w:fldCharType="begin"/>
                </w:r>
                <w:r>
                  <w:rPr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4"/>
      <w:numFmt w:val="decimal"/>
      <w:lvlText w:val="%1."/>
      <w:lvlJc w:val="left"/>
      <w:pPr>
        <w:ind w:left="821" w:hanging="217"/>
        <w:jc w:val="left"/>
      </w:pPr>
      <w:rPr>
        <w:rFonts w:hint="default" w:ascii="Cambria" w:hAnsi="Cambria" w:eastAsia="Cambria" w:cs="Cambria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05" w:hanging="385"/>
        <w:jc w:val="left"/>
      </w:pPr>
      <w:rPr>
        <w:rFonts w:hint="default" w:ascii="Cambria" w:hAnsi="Cambria" w:eastAsia="Cambria" w:cs="Cambria"/>
        <w:w w:val="100"/>
        <w:sz w:val="22"/>
        <w:szCs w:val="22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193" w:hanging="385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187" w:hanging="385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181" w:hanging="385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175" w:hanging="385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168" w:hanging="385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162" w:hanging="385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156" w:hanging="385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087" w:hanging="255"/>
        <w:jc w:val="left"/>
      </w:pPr>
      <w:rPr>
        <w:rFonts w:hint="default" w:ascii="Cambria" w:hAnsi="Cambria" w:eastAsia="Cambria" w:cs="Cambria"/>
        <w:w w:val="100"/>
        <w:sz w:val="22"/>
        <w:szCs w:val="22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986" w:hanging="255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892" w:hanging="255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799" w:hanging="255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705" w:hanging="255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612" w:hanging="255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518" w:hanging="255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424" w:hanging="255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331" w:hanging="255"/>
      </w:pPr>
      <w:rPr>
        <w:rFonts w:hint="default"/>
        <w:lang w:val="ru-RU" w:eastAsia="ru-RU" w:bidi="ru-RU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2"/>
      <w:szCs w:val="22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1"/>
      <w:ind w:left="1058" w:right="940"/>
      <w:jc w:val="center"/>
      <w:outlineLvl w:val="1"/>
    </w:pPr>
    <w:rPr>
      <w:rFonts w:ascii="Cambria" w:hAnsi="Cambria" w:eastAsia="Cambria" w:cs="Cambria"/>
      <w:sz w:val="52"/>
      <w:szCs w:val="52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125" w:firstLine="708"/>
    </w:pPr>
    <w:rPr>
      <w:rFonts w:ascii="Cambria" w:hAnsi="Cambria" w:eastAsia="Cambria" w:cs="Cambria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www.muravlenko24.ru/news/39279-s-1-yanvarya-zhizn-dachnikov-serezno-" TargetMode="External"/><Relationship Id="rId6" Type="http://schemas.openxmlformats.org/officeDocument/2006/relationships/header" Target="header1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Сарацин</dc:creator>
  <dc:title>УТВЕРЖДЕН</dc:title>
  <dcterms:created xsi:type="dcterms:W3CDTF">2018-12-22T16:29:56Z</dcterms:created>
  <dcterms:modified xsi:type="dcterms:W3CDTF">2018-12-22T16:29:56Z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2018-12-22T00:00:00Z</vt:filetime>
  </property>
</Properties>
</file>